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851944">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w:t>
      </w:r>
      <w:r w:rsidR="005C0FC0">
        <w:rPr>
          <w:rFonts w:ascii="Palatino Linotype" w:hAnsi="Palatino Linotype" w:cs="Arial"/>
          <w:b/>
        </w:rPr>
        <w:t>CUARTA</w:t>
      </w:r>
      <w:r>
        <w:rPr>
          <w:rFonts w:ascii="Palatino Linotype" w:hAnsi="Palatino Linotype" w:cs="Arial"/>
          <w:b/>
        </w:rPr>
        <w:t xml:space="preserve"> </w:t>
      </w:r>
      <w:r w:rsidRPr="0073286C">
        <w:rPr>
          <w:rFonts w:ascii="Palatino Linotype" w:hAnsi="Palatino Linotype" w:cs="Arial"/>
          <w:b/>
        </w:rPr>
        <w:t xml:space="preserve">SESIÓN ORDINARIA DE </w:t>
      </w:r>
      <w:r w:rsidR="005C0FC0">
        <w:rPr>
          <w:rFonts w:ascii="Palatino Linotype" w:hAnsi="Palatino Linotype" w:cs="Arial"/>
          <w:b/>
        </w:rPr>
        <w:t>VEINTIOCHO</w:t>
      </w:r>
      <w:r>
        <w:rPr>
          <w:rFonts w:ascii="Palatino Linotype" w:hAnsi="Palatino Linotype" w:cs="Arial"/>
          <w:b/>
        </w:rPr>
        <w:t xml:space="preserve"> DE NOVIEMBRE 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03</w:t>
      </w:r>
      <w:r w:rsidR="005C0FC0">
        <w:rPr>
          <w:rFonts w:ascii="Palatino Linotype" w:hAnsi="Palatino Linotype" w:cs="Arial"/>
          <w:b/>
        </w:rPr>
        <w:t>519</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851944">
      <w:pPr>
        <w:widowControl w:val="0"/>
        <w:spacing w:line="360" w:lineRule="auto"/>
        <w:jc w:val="both"/>
        <w:rPr>
          <w:rFonts w:ascii="Palatino Linotype" w:eastAsia="Calibri" w:hAnsi="Palatino Linotype" w:cs="Arial"/>
          <w:b/>
          <w:color w:val="000000"/>
        </w:rPr>
      </w:pPr>
    </w:p>
    <w:p w:rsidR="00851944" w:rsidRDefault="00851944" w:rsidP="00851944">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5C0FC0">
        <w:rPr>
          <w:rFonts w:ascii="Palatino Linotype" w:hAnsi="Palatino Linotype" w:cs="Arial"/>
        </w:rPr>
        <w:t>a</w:t>
      </w:r>
      <w:r w:rsidRPr="0073286C">
        <w:rPr>
          <w:rFonts w:ascii="Palatino Linotype" w:hAnsi="Palatino Linotype" w:cs="Arial"/>
        </w:rPr>
        <w:t xml:space="preserve"> que suscribe</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03</w:t>
      </w:r>
      <w:r w:rsidR="005C0FC0">
        <w:rPr>
          <w:rFonts w:ascii="Palatino Linotype" w:hAnsi="Palatino Linotype" w:cs="Arial"/>
          <w:b/>
        </w:rPr>
        <w:t>519</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Pr>
          <w:rFonts w:ascii="Palatino Linotype" w:hAnsi="Palatino Linotype" w:cs="Arial"/>
        </w:rPr>
        <w:t>el</w:t>
      </w:r>
      <w:r w:rsidRPr="0073286C">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385565">
      <w:pPr>
        <w:spacing w:line="360" w:lineRule="auto"/>
        <w:jc w:val="both"/>
        <w:rPr>
          <w:rFonts w:ascii="Palatino Linotype" w:hAnsi="Palatino Linotype" w:cs="Arial"/>
        </w:rPr>
      </w:pPr>
    </w:p>
    <w:p w:rsidR="006468C8" w:rsidRDefault="00851944" w:rsidP="00385565">
      <w:pPr>
        <w:spacing w:line="360" w:lineRule="auto"/>
        <w:jc w:val="both"/>
        <w:rPr>
          <w:rFonts w:ascii="Palatino Linotype" w:hAnsi="Palatino Linotype"/>
        </w:rPr>
      </w:pPr>
      <w:r w:rsidRPr="00851944">
        <w:rPr>
          <w:rFonts w:ascii="Palatino Linotype" w:hAnsi="Palatino Linotype"/>
        </w:rPr>
        <w:t>L</w:t>
      </w:r>
      <w:r w:rsidR="005C0FC0">
        <w:rPr>
          <w:rFonts w:ascii="Palatino Linotype" w:hAnsi="Palatino Linotype"/>
        </w:rPr>
        <w:t>a</w:t>
      </w:r>
      <w:r w:rsidRPr="00851944">
        <w:rPr>
          <w:rFonts w:ascii="Palatino Linotype" w:hAnsi="Palatino Linotype"/>
        </w:rPr>
        <w:t xml:space="preserve"> suscrit</w:t>
      </w:r>
      <w:r w:rsidR="005C0FC0">
        <w:rPr>
          <w:rFonts w:ascii="Palatino Linotype" w:hAnsi="Palatino Linotype"/>
        </w:rPr>
        <w:t>a</w:t>
      </w:r>
      <w:r w:rsidRPr="00851944">
        <w:rPr>
          <w:rFonts w:ascii="Palatino Linotype" w:hAnsi="Palatino Linotype"/>
        </w:rPr>
        <w:t xml:space="preserve"> compart</w:t>
      </w:r>
      <w:r w:rsidR="005C0FC0">
        <w:rPr>
          <w:rFonts w:ascii="Palatino Linotype" w:hAnsi="Palatino Linotype"/>
        </w:rPr>
        <w:t>e</w:t>
      </w:r>
      <w:r w:rsidRPr="00851944">
        <w:rPr>
          <w:rFonts w:ascii="Palatino Linotype" w:hAnsi="Palatino Linotype"/>
        </w:rPr>
        <w:t xml:space="preserve"> esencialmente el sentido de la resolución del recurso de revisión; empero, estim</w:t>
      </w:r>
      <w:r w:rsidR="005C0FC0">
        <w:rPr>
          <w:rFonts w:ascii="Palatino Linotype" w:hAnsi="Palatino Linotype"/>
        </w:rPr>
        <w:t>o</w:t>
      </w:r>
      <w:r w:rsidRPr="00851944">
        <w:rPr>
          <w:rFonts w:ascii="Palatino Linotype" w:hAnsi="Palatino Linotype"/>
        </w:rPr>
        <w:t xml:space="preserve"> necesario precisar algunas consideraciones de hecho y de derecho, tocante a parte del análisis realizado.</w:t>
      </w:r>
    </w:p>
    <w:p w:rsidR="005C0FC0" w:rsidRDefault="005C0FC0" w:rsidP="00385565">
      <w:pPr>
        <w:spacing w:line="360" w:lineRule="auto"/>
        <w:jc w:val="both"/>
        <w:rPr>
          <w:rFonts w:ascii="Palatino Linotype" w:hAnsi="Palatino Linotype"/>
        </w:rPr>
      </w:pPr>
    </w:p>
    <w:p w:rsidR="005C0FC0" w:rsidRDefault="00202921" w:rsidP="00851944">
      <w:pPr>
        <w:spacing w:line="360" w:lineRule="auto"/>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5C0FC0">
        <w:rPr>
          <w:rFonts w:ascii="Palatino Linotype" w:hAnsi="Palatino Linotype"/>
        </w:rPr>
        <w:t>el</w:t>
      </w:r>
      <w:r w:rsidRPr="0073286C">
        <w:rPr>
          <w:rFonts w:ascii="Palatino Linotype" w:hAnsi="Palatino Linotype"/>
        </w:rPr>
        <w:t xml:space="preserve"> particular requirió de</w:t>
      </w:r>
      <w:r w:rsidR="005C0FC0">
        <w:rPr>
          <w:rFonts w:ascii="Palatino Linotype" w:hAnsi="Palatino Linotype"/>
        </w:rPr>
        <w:t xml:space="preserve"> </w:t>
      </w:r>
      <w:r w:rsidRPr="0073286C">
        <w:rPr>
          <w:rFonts w:ascii="Palatino Linotype" w:hAnsi="Palatino Linotype"/>
        </w:rPr>
        <w:t>l</w:t>
      </w:r>
      <w:r w:rsidR="005C0FC0">
        <w:rPr>
          <w:rFonts w:ascii="Palatino Linotype" w:hAnsi="Palatino Linotype"/>
        </w:rPr>
        <w:t>a</w:t>
      </w:r>
      <w:r>
        <w:rPr>
          <w:rFonts w:ascii="Palatino Linotype" w:hAnsi="Palatino Linotype"/>
        </w:rPr>
        <w:t xml:space="preserve"> </w:t>
      </w:r>
      <w:r w:rsidR="005C0FC0" w:rsidRPr="005C0FC0">
        <w:rPr>
          <w:rFonts w:ascii="Palatino Linotype" w:hAnsi="Palatino Linotype"/>
          <w:b/>
        </w:rPr>
        <w:t xml:space="preserve">Universidad Autónoma del Estado de </w:t>
      </w:r>
      <w:r w:rsidR="005C0FC0" w:rsidRPr="005C0FC0">
        <w:rPr>
          <w:rFonts w:ascii="Palatino Linotype" w:hAnsi="Palatino Linotype"/>
          <w:b/>
        </w:rPr>
        <w:lastRenderedPageBreak/>
        <w:t>México</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851944" w:rsidRPr="00851944">
        <w:rPr>
          <w:rFonts w:ascii="Palatino Linotype" w:hAnsi="Palatino Linotype"/>
        </w:rPr>
        <w:t xml:space="preserve">le proporcionara </w:t>
      </w:r>
      <w:r w:rsidR="005C0FC0">
        <w:rPr>
          <w:rFonts w:ascii="Palatino Linotype" w:hAnsi="Palatino Linotype"/>
        </w:rPr>
        <w:t xml:space="preserve">respecto de </w:t>
      </w:r>
      <w:r w:rsidR="00F259D4">
        <w:rPr>
          <w:rFonts w:ascii="Palatino Linotype" w:hAnsi="Palatino Linotype"/>
        </w:rPr>
        <w:t>LA</w:t>
      </w:r>
      <w:r w:rsidR="005C0FC0">
        <w:rPr>
          <w:rFonts w:ascii="Palatino Linotype" w:hAnsi="Palatino Linotype"/>
        </w:rPr>
        <w:t xml:space="preserve"> servidora pública </w:t>
      </w:r>
      <w:r w:rsidR="00F259D4">
        <w:rPr>
          <w:rFonts w:ascii="Palatino Linotype" w:hAnsi="Palatino Linotype"/>
        </w:rPr>
        <w:t>referida</w:t>
      </w:r>
      <w:r w:rsidR="005C0FC0">
        <w:rPr>
          <w:rFonts w:ascii="Palatino Linotype" w:hAnsi="Palatino Linotype"/>
        </w:rPr>
        <w:t xml:space="preserve"> en la solicitud de mérito, lo siguiente:</w:t>
      </w:r>
    </w:p>
    <w:p w:rsidR="005C0FC0" w:rsidRDefault="005C0FC0" w:rsidP="00851944">
      <w:pPr>
        <w:spacing w:line="360" w:lineRule="auto"/>
        <w:jc w:val="both"/>
        <w:rPr>
          <w:rFonts w:ascii="Palatino Linotype" w:hAnsi="Palatino Linotype"/>
        </w:rPr>
      </w:pPr>
    </w:p>
    <w:p w:rsidR="005C0FC0" w:rsidRPr="005C0FC0" w:rsidRDefault="005C0FC0" w:rsidP="005C0FC0">
      <w:pPr>
        <w:ind w:left="709" w:right="850"/>
        <w:jc w:val="both"/>
        <w:rPr>
          <w:rFonts w:ascii="Palatino Linotype" w:hAnsi="Palatino Linotype"/>
          <w:i/>
          <w:sz w:val="22"/>
        </w:rPr>
      </w:pPr>
      <w:r w:rsidRPr="005C0FC0">
        <w:rPr>
          <w:rFonts w:ascii="Palatino Linotype" w:hAnsi="Palatino Linotype"/>
          <w:i/>
          <w:sz w:val="22"/>
        </w:rPr>
        <w:t>1.</w:t>
      </w:r>
      <w:r>
        <w:rPr>
          <w:rFonts w:ascii="Palatino Linotype" w:hAnsi="Palatino Linotype"/>
          <w:i/>
          <w:sz w:val="22"/>
        </w:rPr>
        <w:t xml:space="preserve"> </w:t>
      </w:r>
      <w:r w:rsidRPr="005C0FC0">
        <w:rPr>
          <w:rFonts w:ascii="Palatino Linotype" w:hAnsi="Palatino Linotype"/>
          <w:i/>
          <w:sz w:val="22"/>
        </w:rPr>
        <w:t>Los criterios, procesos y toma de decisión para designar</w:t>
      </w:r>
      <w:r>
        <w:rPr>
          <w:rFonts w:ascii="Palatino Linotype" w:hAnsi="Palatino Linotype"/>
          <w:i/>
          <w:sz w:val="22"/>
        </w:rPr>
        <w:t>la</w:t>
      </w:r>
      <w:r w:rsidRPr="005C0FC0">
        <w:rPr>
          <w:rFonts w:ascii="Palatino Linotype" w:hAnsi="Palatino Linotype"/>
          <w:i/>
          <w:sz w:val="22"/>
        </w:rPr>
        <w:t xml:space="preserve"> como jef</w:t>
      </w:r>
      <w:r>
        <w:rPr>
          <w:rFonts w:ascii="Palatino Linotype" w:hAnsi="Palatino Linotype"/>
          <w:i/>
          <w:sz w:val="22"/>
        </w:rPr>
        <w:t>a</w:t>
      </w:r>
      <w:r w:rsidRPr="005C0FC0">
        <w:rPr>
          <w:rFonts w:ascii="Palatino Linotype" w:hAnsi="Palatino Linotype"/>
          <w:i/>
          <w:sz w:val="22"/>
        </w:rPr>
        <w:t xml:space="preserve"> de departamento</w:t>
      </w:r>
      <w:r w:rsidR="004A404F">
        <w:rPr>
          <w:rFonts w:ascii="Palatino Linotype" w:hAnsi="Palatino Linotype"/>
          <w:i/>
          <w:sz w:val="22"/>
        </w:rPr>
        <w:t>.</w:t>
      </w:r>
      <w:r w:rsidRPr="005C0FC0">
        <w:rPr>
          <w:rFonts w:ascii="Palatino Linotype" w:hAnsi="Palatino Linotype"/>
          <w:i/>
          <w:sz w:val="22"/>
        </w:rPr>
        <w:t xml:space="preserve"> 2.</w:t>
      </w:r>
      <w:r>
        <w:rPr>
          <w:rFonts w:ascii="Palatino Linotype" w:hAnsi="Palatino Linotype"/>
          <w:i/>
          <w:sz w:val="22"/>
        </w:rPr>
        <w:t xml:space="preserve"> </w:t>
      </w:r>
      <w:r w:rsidRPr="005C0FC0">
        <w:rPr>
          <w:rFonts w:ascii="Palatino Linotype" w:hAnsi="Palatino Linotype"/>
          <w:i/>
          <w:sz w:val="22"/>
        </w:rPr>
        <w:t>Los documentos donde se demuestr</w:t>
      </w:r>
      <w:r>
        <w:rPr>
          <w:rFonts w:ascii="Palatino Linotype" w:hAnsi="Palatino Linotype"/>
          <w:i/>
          <w:sz w:val="22"/>
        </w:rPr>
        <w:t>e</w:t>
      </w:r>
      <w:r w:rsidRPr="005C0FC0">
        <w:rPr>
          <w:rFonts w:ascii="Palatino Linotype" w:hAnsi="Palatino Linotype"/>
          <w:i/>
          <w:sz w:val="22"/>
        </w:rPr>
        <w:t xml:space="preserve"> la preparación con que cuenta.</w:t>
      </w:r>
    </w:p>
    <w:p w:rsidR="005C0FC0" w:rsidRPr="005C0FC0" w:rsidRDefault="005C0FC0" w:rsidP="005C0FC0">
      <w:pPr>
        <w:ind w:left="709" w:right="850"/>
        <w:jc w:val="both"/>
        <w:rPr>
          <w:rFonts w:ascii="Palatino Linotype" w:hAnsi="Palatino Linotype"/>
          <w:i/>
          <w:sz w:val="22"/>
        </w:rPr>
      </w:pPr>
      <w:r w:rsidRPr="005C0FC0">
        <w:rPr>
          <w:rFonts w:ascii="Palatino Linotype" w:hAnsi="Palatino Linotype"/>
          <w:i/>
          <w:sz w:val="22"/>
        </w:rPr>
        <w:t>3.</w:t>
      </w:r>
      <w:r>
        <w:rPr>
          <w:rFonts w:ascii="Palatino Linotype" w:hAnsi="Palatino Linotype"/>
          <w:i/>
          <w:sz w:val="22"/>
        </w:rPr>
        <w:t xml:space="preserve"> </w:t>
      </w:r>
      <w:r w:rsidRPr="005C0FC0">
        <w:rPr>
          <w:rFonts w:ascii="Palatino Linotype" w:hAnsi="Palatino Linotype"/>
          <w:i/>
          <w:sz w:val="22"/>
        </w:rPr>
        <w:t>Las evaluaciones a que se sometió al aplicar al puesto que hoy ostenta.</w:t>
      </w:r>
    </w:p>
    <w:p w:rsidR="005C0FC0" w:rsidRDefault="005C0FC0" w:rsidP="00851944">
      <w:pPr>
        <w:spacing w:line="360" w:lineRule="auto"/>
        <w:jc w:val="both"/>
        <w:rPr>
          <w:rFonts w:ascii="Palatino Linotype" w:hAnsi="Palatino Linotype"/>
        </w:rPr>
      </w:pPr>
    </w:p>
    <w:p w:rsidR="000903B0" w:rsidRPr="000903B0" w:rsidRDefault="00202921" w:rsidP="00385565">
      <w:pPr>
        <w:spacing w:line="360" w:lineRule="auto"/>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EL SUJETO OBLIGADO</w:t>
      </w:r>
      <w:r w:rsidRPr="000903B0">
        <w:rPr>
          <w:rFonts w:ascii="Palatino Linotype" w:hAnsi="Palatino Linotype" w:cs="Arial"/>
        </w:rPr>
        <w:t xml:space="preserve">, </w:t>
      </w:r>
      <w:r w:rsidR="000903B0" w:rsidRPr="000903B0">
        <w:rPr>
          <w:rFonts w:ascii="Palatino Linotype" w:hAnsi="Palatino Linotype" w:cs="Arial"/>
        </w:rPr>
        <w:t>en respuesta a la solicitud de acceso a la información de</w:t>
      </w:r>
      <w:r w:rsidR="005C0FC0">
        <w:rPr>
          <w:rFonts w:ascii="Palatino Linotype" w:hAnsi="Palatino Linotype" w:cs="Arial"/>
        </w:rPr>
        <w:t>l</w:t>
      </w:r>
      <w:r w:rsidR="000903B0" w:rsidRPr="000903B0">
        <w:rPr>
          <w:rFonts w:ascii="Palatino Linotype" w:hAnsi="Palatino Linotype" w:cs="Arial"/>
        </w:rPr>
        <w:t xml:space="preserve"> ciudadan</w:t>
      </w:r>
      <w:r w:rsidR="005C0FC0">
        <w:rPr>
          <w:rFonts w:ascii="Palatino Linotype" w:hAnsi="Palatino Linotype" w:cs="Arial"/>
        </w:rPr>
        <w:t>o</w:t>
      </w:r>
      <w:r w:rsidR="000903B0" w:rsidRPr="000903B0">
        <w:rPr>
          <w:rFonts w:ascii="Palatino Linotype" w:hAnsi="Palatino Linotype" w:cs="Arial"/>
        </w:rPr>
        <w:t xml:space="preserve">, remitió documentación y realizó manifestaciones tendientes a colmar el derecho de acceso a la información accionado por </w:t>
      </w:r>
      <w:r w:rsidR="00E76662">
        <w:rPr>
          <w:rFonts w:ascii="Palatino Linotype" w:hAnsi="Palatino Linotype" w:cs="Arial"/>
        </w:rPr>
        <w:t>el</w:t>
      </w:r>
      <w:r w:rsidR="000903B0" w:rsidRPr="000903B0">
        <w:rPr>
          <w:rFonts w:ascii="Palatino Linotype" w:hAnsi="Palatino Linotype" w:cs="Arial"/>
        </w:rPr>
        <w:t xml:space="preserve"> particular.</w:t>
      </w:r>
    </w:p>
    <w:p w:rsidR="000903B0" w:rsidRDefault="000903B0" w:rsidP="00385565">
      <w:pPr>
        <w:spacing w:line="360" w:lineRule="auto"/>
        <w:jc w:val="both"/>
        <w:rPr>
          <w:rFonts w:ascii="Palatino Linotype" w:hAnsi="Palatino Linotype" w:cs="Arial"/>
          <w:b/>
        </w:rPr>
      </w:pPr>
    </w:p>
    <w:p w:rsidR="000903B0" w:rsidRDefault="000903B0" w:rsidP="00385565">
      <w:pPr>
        <w:spacing w:line="360" w:lineRule="auto"/>
        <w:jc w:val="both"/>
        <w:rPr>
          <w:rFonts w:ascii="Palatino Linotype" w:hAnsi="Palatino Linotype" w:cs="Arial"/>
        </w:rPr>
      </w:pPr>
      <w:r w:rsidRPr="000903B0">
        <w:rPr>
          <w:rFonts w:ascii="Palatino Linotype" w:hAnsi="Palatino Linotype" w:cs="Arial"/>
        </w:rPr>
        <w:t xml:space="preserve">Ante dicha respuesta, </w:t>
      </w:r>
      <w:r w:rsidR="00E76662">
        <w:rPr>
          <w:rFonts w:ascii="Palatino Linotype" w:hAnsi="Palatino Linotype" w:cs="Arial"/>
          <w:b/>
        </w:rPr>
        <w:t>EL</w:t>
      </w:r>
      <w:r w:rsidRPr="000903B0">
        <w:rPr>
          <w:rFonts w:ascii="Palatino Linotype" w:hAnsi="Palatino Linotype" w:cs="Arial"/>
          <w:b/>
        </w:rPr>
        <w:t xml:space="preserve"> RECURRENTE</w:t>
      </w:r>
      <w:r w:rsidRPr="000903B0">
        <w:rPr>
          <w:rFonts w:ascii="Palatino Linotype" w:hAnsi="Palatino Linotype" w:cs="Arial"/>
        </w:rPr>
        <w:t xml:space="preserve"> </w:t>
      </w:r>
      <w:r>
        <w:rPr>
          <w:rFonts w:ascii="Palatino Linotype" w:hAnsi="Palatino Linotype" w:cs="Arial"/>
        </w:rPr>
        <w:t>procedió a</w:t>
      </w:r>
      <w:r w:rsidRPr="000903B0">
        <w:rPr>
          <w:rFonts w:ascii="Palatino Linotype" w:hAnsi="Palatino Linotype" w:cs="Arial"/>
        </w:rPr>
        <w:t xml:space="preserve"> interponer </w:t>
      </w:r>
      <w:r w:rsidR="00805009">
        <w:rPr>
          <w:rFonts w:ascii="Palatino Linotype" w:hAnsi="Palatino Linotype" w:cs="Arial"/>
        </w:rPr>
        <w:t xml:space="preserve">el </w:t>
      </w:r>
      <w:r w:rsidRPr="000903B0">
        <w:rPr>
          <w:rFonts w:ascii="Palatino Linotype" w:hAnsi="Palatino Linotype" w:cs="Arial"/>
        </w:rPr>
        <w:t xml:space="preserve">recurso de revisión </w:t>
      </w:r>
      <w:r>
        <w:rPr>
          <w:rFonts w:ascii="Palatino Linotype" w:hAnsi="Palatino Linotype" w:cs="Arial"/>
        </w:rPr>
        <w:t xml:space="preserve">de mérito, en el que </w:t>
      </w:r>
      <w:r w:rsidR="00805009">
        <w:rPr>
          <w:rFonts w:ascii="Palatino Linotype" w:hAnsi="Palatino Linotype" w:cs="Arial"/>
        </w:rPr>
        <w:t xml:space="preserve">se inconformó </w:t>
      </w:r>
      <w:r w:rsidR="00E76662">
        <w:rPr>
          <w:rFonts w:ascii="Palatino Linotype" w:hAnsi="Palatino Linotype" w:cs="Arial"/>
        </w:rPr>
        <w:t>de la respuesta proporcionada.</w:t>
      </w:r>
    </w:p>
    <w:p w:rsidR="00E76662" w:rsidRPr="000903B0" w:rsidRDefault="00E76662" w:rsidP="00385565">
      <w:pPr>
        <w:spacing w:line="360" w:lineRule="auto"/>
        <w:jc w:val="both"/>
        <w:rPr>
          <w:rFonts w:ascii="Palatino Linotype" w:hAnsi="Palatino Linotype" w:cs="Arial"/>
        </w:rPr>
      </w:pPr>
    </w:p>
    <w:p w:rsidR="00E76662" w:rsidRPr="00C40692" w:rsidRDefault="00E76662" w:rsidP="00E76662">
      <w:pPr>
        <w:spacing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Pr>
          <w:rFonts w:ascii="Palatino Linotype" w:hAnsi="Palatino Linotype" w:cs="Arial"/>
          <w:b/>
        </w:rPr>
        <w:t xml:space="preserve">CONFIRMAR </w:t>
      </w:r>
      <w:r>
        <w:rPr>
          <w:rFonts w:ascii="Palatino Linotype" w:hAnsi="Palatino Linotype" w:cs="Arial"/>
        </w:rPr>
        <w:t xml:space="preserve">la respuesta del </w:t>
      </w:r>
      <w:r>
        <w:rPr>
          <w:rFonts w:ascii="Palatino Linotype" w:hAnsi="Palatino Linotype" w:cs="Arial"/>
          <w:b/>
        </w:rPr>
        <w:t>SUJ</w:t>
      </w:r>
      <w:r w:rsidRPr="0073286C">
        <w:rPr>
          <w:rFonts w:ascii="Palatino Linotype" w:hAnsi="Palatino Linotype" w:cs="Arial"/>
          <w:b/>
        </w:rPr>
        <w:t>ETO OBLIGADO</w:t>
      </w:r>
      <w:r>
        <w:rPr>
          <w:rFonts w:ascii="Palatino Linotype" w:hAnsi="Palatino Linotype" w:cs="Arial"/>
          <w:b/>
        </w:rPr>
        <w:t>.</w:t>
      </w:r>
      <w:r w:rsidRPr="00E76662">
        <w:rPr>
          <w:rFonts w:ascii="Palatino Linotype" w:hAnsi="Palatino Linotype" w:cs="Arial"/>
        </w:rPr>
        <w:t xml:space="preserve"> </w:t>
      </w: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l sentido de la misma puest</w:t>
      </w:r>
      <w:r w:rsidR="00F259D4">
        <w:rPr>
          <w:rFonts w:ascii="Palatino Linotype" w:hAnsi="Palatino Linotype"/>
        </w:rPr>
        <w:t>o</w:t>
      </w:r>
      <w:r>
        <w:rPr>
          <w:rFonts w:ascii="Palatino Linotype" w:hAnsi="Palatino Linotype"/>
        </w:rPr>
        <w:t xml:space="preserve"> que considero que lo procedente </w:t>
      </w:r>
      <w:r w:rsidR="00F259D4">
        <w:rPr>
          <w:rFonts w:ascii="Palatino Linotype" w:hAnsi="Palatino Linotype"/>
        </w:rPr>
        <w:t>es</w:t>
      </w:r>
      <w:r>
        <w:rPr>
          <w:rFonts w:ascii="Palatino Linotype" w:hAnsi="Palatino Linotype"/>
        </w:rPr>
        <w:t xml:space="preserve"> </w:t>
      </w:r>
      <w:r>
        <w:rPr>
          <w:rFonts w:ascii="Palatino Linotype" w:hAnsi="Palatino Linotype" w:cs="Arial"/>
          <w:b/>
        </w:rPr>
        <w:t>MODIFICAR</w:t>
      </w:r>
      <w:r w:rsidRPr="00722925">
        <w:rPr>
          <w:rFonts w:ascii="Palatino Linotype" w:hAnsi="Palatino Linotype" w:cs="Arial"/>
        </w:rPr>
        <w:t xml:space="preserve"> </w:t>
      </w:r>
      <w:r>
        <w:rPr>
          <w:rFonts w:ascii="Palatino Linotype" w:hAnsi="Palatino Linotype" w:cs="Arial"/>
        </w:rPr>
        <w:t xml:space="preserve">la respuesta </w:t>
      </w:r>
      <w:r>
        <w:rPr>
          <w:rFonts w:ascii="Palatino Linotype" w:hAnsi="Palatino Linotype"/>
        </w:rPr>
        <w:t>de acuerdo con lo siguiente:</w:t>
      </w:r>
    </w:p>
    <w:p w:rsidR="00E76662" w:rsidRDefault="00E76662" w:rsidP="00E76662">
      <w:pPr>
        <w:spacing w:line="360" w:lineRule="auto"/>
        <w:jc w:val="both"/>
        <w:rPr>
          <w:rFonts w:ascii="Palatino Linotype" w:hAnsi="Palatino Linotype" w:cs="Arial"/>
        </w:rPr>
      </w:pPr>
    </w:p>
    <w:p w:rsidR="00E76662" w:rsidRDefault="00E76662" w:rsidP="00E76662">
      <w:pPr>
        <w:spacing w:line="360" w:lineRule="auto"/>
        <w:jc w:val="both"/>
        <w:rPr>
          <w:rFonts w:ascii="Palatino Linotype" w:hAnsi="Palatino Linotype"/>
        </w:rPr>
      </w:pPr>
    </w:p>
    <w:p w:rsidR="00E76662" w:rsidRDefault="00E76662" w:rsidP="00E76662">
      <w:pPr>
        <w:spacing w:line="360" w:lineRule="auto"/>
        <w:jc w:val="both"/>
        <w:rPr>
          <w:rFonts w:ascii="Palatino Linotype" w:hAnsi="Palatino Linotype"/>
        </w:rPr>
      </w:pPr>
      <w:r>
        <w:rPr>
          <w:rFonts w:ascii="Palatino Linotype" w:hAnsi="Palatino Linotype"/>
        </w:rPr>
        <w:lastRenderedPageBreak/>
        <w:t xml:space="preserve">En primer término, es necesario precisar que de conformidad con el artículo 186 de la </w:t>
      </w:r>
      <w:r w:rsidRPr="00B918F9">
        <w:rPr>
          <w:rFonts w:ascii="Palatino Linotype" w:hAnsi="Palatino Linotype" w:cs="Arial"/>
        </w:rPr>
        <w:t>Ley de Transparencia y Acceso a la Información Pública del Estado de México y Municipios</w:t>
      </w:r>
      <w:r>
        <w:rPr>
          <w:rFonts w:ascii="Palatino Linotype" w:hAnsi="Palatino Linotype" w:cs="Arial"/>
        </w:rPr>
        <w:t>,</w:t>
      </w:r>
      <w:r>
        <w:rPr>
          <w:rFonts w:ascii="Palatino Linotype" w:hAnsi="Palatino Linotype"/>
        </w:rPr>
        <w:t xml:space="preserve"> las Resoluciones emitidas por este Órgano Garante podrán:</w:t>
      </w:r>
    </w:p>
    <w:p w:rsidR="00E76662" w:rsidRDefault="00E76662" w:rsidP="00E76662">
      <w:pPr>
        <w:spacing w:line="360" w:lineRule="auto"/>
        <w:jc w:val="both"/>
        <w:rPr>
          <w:rFonts w:ascii="Palatino Linotype" w:hAnsi="Palatino Linotype"/>
        </w:rPr>
      </w:pPr>
    </w:p>
    <w:p w:rsidR="00E76662" w:rsidRPr="00274EF7" w:rsidRDefault="00E76662" w:rsidP="00E76662">
      <w:pPr>
        <w:pStyle w:val="Prrafodelista"/>
        <w:numPr>
          <w:ilvl w:val="0"/>
          <w:numId w:val="10"/>
        </w:numPr>
        <w:spacing w:line="360" w:lineRule="auto"/>
        <w:jc w:val="both"/>
        <w:rPr>
          <w:rFonts w:ascii="Palatino Linotype" w:hAnsi="Palatino Linotype"/>
        </w:rPr>
      </w:pPr>
      <w:r w:rsidRPr="00274EF7">
        <w:rPr>
          <w:rFonts w:ascii="Palatino Linotype" w:hAnsi="Palatino Linotype"/>
        </w:rPr>
        <w:t xml:space="preserve">Desechar o sobreseer el recurso; </w:t>
      </w:r>
    </w:p>
    <w:p w:rsidR="00E76662" w:rsidRPr="00E76662" w:rsidRDefault="00E76662" w:rsidP="00E76662">
      <w:pPr>
        <w:pStyle w:val="Prrafodelista"/>
        <w:numPr>
          <w:ilvl w:val="0"/>
          <w:numId w:val="10"/>
        </w:numPr>
        <w:spacing w:line="360" w:lineRule="auto"/>
        <w:jc w:val="both"/>
        <w:rPr>
          <w:rFonts w:ascii="Palatino Linotype" w:hAnsi="Palatino Linotype"/>
          <w:b/>
        </w:rPr>
      </w:pPr>
      <w:r w:rsidRPr="00E76662">
        <w:rPr>
          <w:rFonts w:ascii="Palatino Linotype" w:hAnsi="Palatino Linotype"/>
          <w:b/>
        </w:rPr>
        <w:t xml:space="preserve">Confirmar la respuesta del sujeto obligado; </w:t>
      </w:r>
    </w:p>
    <w:p w:rsidR="00E76662" w:rsidRPr="002B11FA" w:rsidRDefault="00E76662" w:rsidP="00E76662">
      <w:pPr>
        <w:pStyle w:val="Prrafodelista"/>
        <w:numPr>
          <w:ilvl w:val="0"/>
          <w:numId w:val="10"/>
        </w:numPr>
        <w:spacing w:line="360" w:lineRule="auto"/>
        <w:jc w:val="both"/>
        <w:rPr>
          <w:rFonts w:ascii="Palatino Linotype" w:hAnsi="Palatino Linotype"/>
        </w:rPr>
      </w:pPr>
      <w:r w:rsidRPr="002B11FA">
        <w:rPr>
          <w:rFonts w:ascii="Palatino Linotype" w:hAnsi="Palatino Linotype"/>
          <w:b/>
        </w:rPr>
        <w:t>Revocar o modificar la respuesta del sujeto obligado</w:t>
      </w:r>
      <w:r w:rsidRPr="002B11FA">
        <w:rPr>
          <w:rFonts w:ascii="Palatino Linotype" w:hAnsi="Palatino Linotype"/>
        </w:rPr>
        <w:t xml:space="preserve">; y </w:t>
      </w:r>
    </w:p>
    <w:p w:rsidR="00E76662" w:rsidRDefault="00E76662" w:rsidP="00E76662">
      <w:pPr>
        <w:pStyle w:val="Prrafodelista"/>
        <w:numPr>
          <w:ilvl w:val="0"/>
          <w:numId w:val="10"/>
        </w:numPr>
        <w:spacing w:line="360" w:lineRule="auto"/>
        <w:jc w:val="both"/>
        <w:rPr>
          <w:rFonts w:ascii="Palatino Linotype" w:hAnsi="Palatino Linotype"/>
        </w:rPr>
      </w:pPr>
      <w:r w:rsidRPr="00274EF7">
        <w:rPr>
          <w:rFonts w:ascii="Palatino Linotype" w:hAnsi="Palatino Linotype"/>
        </w:rPr>
        <w:t>Ordenar la entrega de la información.</w:t>
      </w:r>
    </w:p>
    <w:p w:rsidR="00E76662" w:rsidRDefault="00E76662" w:rsidP="00E76662">
      <w:pPr>
        <w:pStyle w:val="Prrafodelista"/>
        <w:spacing w:line="360" w:lineRule="auto"/>
        <w:jc w:val="both"/>
        <w:rPr>
          <w:rFonts w:ascii="Palatino Linotype" w:hAnsi="Palatino Linotype"/>
        </w:rPr>
      </w:pPr>
    </w:p>
    <w:p w:rsidR="00E76662" w:rsidRDefault="00E76662" w:rsidP="00E76662">
      <w:pPr>
        <w:spacing w:line="360" w:lineRule="auto"/>
        <w:jc w:val="both"/>
        <w:rPr>
          <w:rFonts w:ascii="Palatino Linotype" w:hAnsi="Palatino Linotype"/>
        </w:rPr>
      </w:pPr>
      <w:r>
        <w:rPr>
          <w:rFonts w:ascii="Palatino Linotype" w:hAnsi="Palatino Linotype"/>
        </w:rPr>
        <w:t xml:space="preserve">En el caso particular de las fracciones II y III y en relación a dichos sentidos, se procede a </w:t>
      </w:r>
      <w:r>
        <w:rPr>
          <w:rFonts w:ascii="Palatino Linotype" w:hAnsi="Palatino Linotype"/>
          <w:b/>
        </w:rPr>
        <w:t>CONFIRMAR</w:t>
      </w:r>
      <w:r>
        <w:rPr>
          <w:rFonts w:ascii="Palatino Linotype" w:hAnsi="Palatino Linotype"/>
        </w:rPr>
        <w:t xml:space="preserve"> </w:t>
      </w:r>
      <w:r w:rsidRPr="00630280">
        <w:rPr>
          <w:rFonts w:ascii="Palatino Linotype" w:hAnsi="Palatino Linotype"/>
        </w:rPr>
        <w:t>la respuesta de</w:t>
      </w:r>
      <w:r>
        <w:rPr>
          <w:rFonts w:ascii="Palatino Linotype" w:hAnsi="Palatino Linotype"/>
        </w:rPr>
        <w:t xml:space="preserve"> </w:t>
      </w:r>
      <w:r w:rsidRPr="00630280">
        <w:rPr>
          <w:rFonts w:ascii="Palatino Linotype" w:hAnsi="Palatino Linotype"/>
        </w:rPr>
        <w:t>l</w:t>
      </w:r>
      <w:r>
        <w:rPr>
          <w:rFonts w:ascii="Palatino Linotype" w:hAnsi="Palatino Linotype"/>
        </w:rPr>
        <w:t>os</w:t>
      </w:r>
      <w:r w:rsidRPr="00630280">
        <w:rPr>
          <w:rFonts w:ascii="Palatino Linotype" w:hAnsi="Palatino Linotype"/>
        </w:rPr>
        <w:t xml:space="preserve"> Sujeto</w:t>
      </w:r>
      <w:r>
        <w:rPr>
          <w:rFonts w:ascii="Palatino Linotype" w:hAnsi="Palatino Linotype"/>
        </w:rPr>
        <w:t>s</w:t>
      </w:r>
      <w:r w:rsidRPr="00630280">
        <w:rPr>
          <w:rFonts w:ascii="Palatino Linotype" w:hAnsi="Palatino Linotype"/>
        </w:rPr>
        <w:t xml:space="preserve"> Obligado</w:t>
      </w:r>
      <w:r>
        <w:rPr>
          <w:rFonts w:ascii="Palatino Linotype" w:hAnsi="Palatino Linotype"/>
        </w:rPr>
        <w:t xml:space="preserve">s, cuando ésta satisface en su </w:t>
      </w:r>
      <w:r w:rsidRPr="004C357C">
        <w:rPr>
          <w:rFonts w:ascii="Palatino Linotype" w:hAnsi="Palatino Linotype"/>
          <w:b/>
        </w:rPr>
        <w:t>totalidad</w:t>
      </w:r>
      <w:r>
        <w:rPr>
          <w:rFonts w:ascii="Palatino Linotype" w:hAnsi="Palatino Linotype"/>
        </w:rPr>
        <w:t xml:space="preserve"> la información requerida por los particulares; mientras que se procede a </w:t>
      </w:r>
      <w:r w:rsidRPr="00630280">
        <w:rPr>
          <w:rFonts w:ascii="Palatino Linotype" w:hAnsi="Palatino Linotype"/>
          <w:b/>
        </w:rPr>
        <w:t>MODIFICAR</w:t>
      </w:r>
      <w:r>
        <w:rPr>
          <w:rFonts w:ascii="Palatino Linotype" w:hAnsi="Palatino Linotype"/>
          <w:b/>
        </w:rPr>
        <w:t xml:space="preserve"> </w:t>
      </w:r>
      <w:r w:rsidRPr="000A2B26">
        <w:rPr>
          <w:rFonts w:ascii="Palatino Linotype" w:hAnsi="Palatino Linotype"/>
        </w:rPr>
        <w:t>la misma</w:t>
      </w:r>
      <w:r>
        <w:rPr>
          <w:rFonts w:ascii="Palatino Linotype" w:hAnsi="Palatino Linotype"/>
        </w:rPr>
        <w:t xml:space="preserve">, en aquellos casos en que se colme </w:t>
      </w:r>
      <w:r w:rsidRPr="004C357C">
        <w:rPr>
          <w:rFonts w:ascii="Palatino Linotype" w:hAnsi="Palatino Linotype"/>
          <w:b/>
        </w:rPr>
        <w:t>parcialmente</w:t>
      </w:r>
      <w:r>
        <w:rPr>
          <w:rFonts w:ascii="Palatino Linotype" w:hAnsi="Palatino Linotype"/>
        </w:rPr>
        <w:t xml:space="preserve"> la solicitud de información, por mínima que pudiera resultar ésta.</w:t>
      </w:r>
    </w:p>
    <w:p w:rsidR="00E76662" w:rsidRDefault="00E76662" w:rsidP="00E76662">
      <w:pPr>
        <w:spacing w:line="360" w:lineRule="auto"/>
        <w:jc w:val="both"/>
        <w:rPr>
          <w:rFonts w:ascii="Palatino Linotype" w:hAnsi="Palatino Linotype"/>
        </w:rPr>
      </w:pPr>
    </w:p>
    <w:p w:rsidR="00855443" w:rsidRPr="00E76662" w:rsidRDefault="00F259D4" w:rsidP="00E76662">
      <w:pPr>
        <w:spacing w:line="360" w:lineRule="auto"/>
        <w:jc w:val="both"/>
        <w:rPr>
          <w:rFonts w:ascii="Palatino Linotype" w:hAnsi="Palatino Linotype" w:cs="Arial"/>
          <w:b/>
        </w:rPr>
      </w:pPr>
      <w:r>
        <w:rPr>
          <w:rFonts w:ascii="Palatino Linotype" w:hAnsi="Palatino Linotype" w:cs="Arial"/>
        </w:rPr>
        <w:t>Por tanto</w:t>
      </w:r>
      <w:r w:rsidR="000F0BC5" w:rsidRPr="0073286C">
        <w:rPr>
          <w:rFonts w:ascii="Palatino Linotype" w:hAnsi="Palatino Linotype" w:cs="Arial"/>
        </w:rPr>
        <w:t xml:space="preserve">, </w:t>
      </w:r>
      <w:r w:rsidR="00E76662">
        <w:rPr>
          <w:rFonts w:ascii="Palatino Linotype" w:hAnsi="Palatino Linotype" w:cs="Arial"/>
        </w:rPr>
        <w:t xml:space="preserve">la Ponencia </w:t>
      </w:r>
      <w:proofErr w:type="spellStart"/>
      <w:r w:rsidR="00E76662">
        <w:rPr>
          <w:rFonts w:ascii="Palatino Linotype" w:hAnsi="Palatino Linotype" w:cs="Arial"/>
        </w:rPr>
        <w:t>Resolutora</w:t>
      </w:r>
      <w:proofErr w:type="spellEnd"/>
      <w:r w:rsidR="00E76662">
        <w:rPr>
          <w:rFonts w:ascii="Palatino Linotype" w:hAnsi="Palatino Linotype" w:cs="Arial"/>
        </w:rPr>
        <w:t xml:space="preserve"> dio por válida la versión pública de los documentos remitidos por </w:t>
      </w:r>
      <w:r w:rsidRPr="00F259D4">
        <w:rPr>
          <w:rFonts w:ascii="Palatino Linotype" w:hAnsi="Palatino Linotype" w:cs="Arial"/>
          <w:b/>
        </w:rPr>
        <w:t>EL</w:t>
      </w:r>
      <w:r>
        <w:rPr>
          <w:rFonts w:ascii="Palatino Linotype" w:hAnsi="Palatino Linotype" w:cs="Arial"/>
        </w:rPr>
        <w:t xml:space="preserve"> </w:t>
      </w:r>
      <w:r w:rsidR="00E76662">
        <w:rPr>
          <w:rFonts w:ascii="Palatino Linotype" w:hAnsi="Palatino Linotype" w:cs="Arial"/>
          <w:b/>
        </w:rPr>
        <w:t xml:space="preserve">SUJETO OBLIGADO </w:t>
      </w:r>
      <w:r w:rsidR="00E76662">
        <w:rPr>
          <w:rFonts w:ascii="Palatino Linotype" w:hAnsi="Palatino Linotype" w:cs="Arial"/>
        </w:rPr>
        <w:t xml:space="preserve">consistentes en </w:t>
      </w:r>
      <w:r w:rsidR="00E76662" w:rsidRPr="00E76662">
        <w:rPr>
          <w:rFonts w:ascii="Palatino Linotype" w:hAnsi="Palatino Linotype" w:cs="Arial"/>
        </w:rPr>
        <w:t xml:space="preserve">los comprobantes de estudio que acreditan la preparación de la persona referida por </w:t>
      </w:r>
      <w:r w:rsidR="00E76662">
        <w:rPr>
          <w:rFonts w:ascii="Palatino Linotype" w:hAnsi="Palatino Linotype" w:cs="Arial"/>
          <w:b/>
        </w:rPr>
        <w:t>EL</w:t>
      </w:r>
      <w:r w:rsidR="00E76662">
        <w:rPr>
          <w:rFonts w:ascii="Palatino Linotype" w:hAnsi="Palatino Linotype" w:cs="Arial"/>
        </w:rPr>
        <w:t xml:space="preserve"> </w:t>
      </w:r>
      <w:r w:rsidR="00E76662">
        <w:rPr>
          <w:rFonts w:ascii="Palatino Linotype" w:hAnsi="Palatino Linotype" w:cs="Arial"/>
          <w:b/>
        </w:rPr>
        <w:t>RECURRENTE.</w:t>
      </w:r>
    </w:p>
    <w:p w:rsidR="00E76662" w:rsidRPr="00E76662" w:rsidRDefault="00E76662" w:rsidP="00E76662">
      <w:pPr>
        <w:spacing w:line="360" w:lineRule="auto"/>
        <w:jc w:val="both"/>
        <w:rPr>
          <w:rFonts w:ascii="Palatino Linotype" w:hAnsi="Palatino Linotype" w:cs="Arial"/>
        </w:rPr>
      </w:pPr>
    </w:p>
    <w:p w:rsidR="003F1DA8" w:rsidRPr="00803578" w:rsidRDefault="00717A14">
      <w:pPr>
        <w:spacing w:line="360" w:lineRule="auto"/>
        <w:jc w:val="both"/>
        <w:rPr>
          <w:rFonts w:ascii="Palatino Linotype" w:hAnsi="Palatino Linotype" w:cs="Arial"/>
        </w:rPr>
      </w:pPr>
      <w:r>
        <w:rPr>
          <w:rFonts w:ascii="Palatino Linotype" w:hAnsi="Palatino Linotype" w:cs="Arial"/>
          <w:lang w:val="es-MX"/>
        </w:rPr>
        <w:t xml:space="preserve">En ese sentido, </w:t>
      </w:r>
      <w:r w:rsidR="00914D9D">
        <w:rPr>
          <w:rFonts w:ascii="Palatino Linotype" w:hAnsi="Palatino Linotype" w:cs="Arial"/>
          <w:lang w:val="es-MX"/>
        </w:rPr>
        <w:t>l</w:t>
      </w:r>
      <w:r w:rsidR="00E76662">
        <w:rPr>
          <w:rFonts w:ascii="Palatino Linotype" w:hAnsi="Palatino Linotype" w:cs="Arial"/>
          <w:lang w:val="es-MX"/>
        </w:rPr>
        <w:t>a</w:t>
      </w:r>
      <w:r w:rsidR="00914D9D">
        <w:rPr>
          <w:rFonts w:ascii="Palatino Linotype" w:hAnsi="Palatino Linotype" w:cs="Arial"/>
          <w:lang w:val="es-MX"/>
        </w:rPr>
        <w:t xml:space="preserve"> </w:t>
      </w:r>
      <w:r>
        <w:rPr>
          <w:rFonts w:ascii="Palatino Linotype" w:hAnsi="Palatino Linotype" w:cs="Arial"/>
          <w:lang w:val="es-MX"/>
        </w:rPr>
        <w:t>suscri</w:t>
      </w:r>
      <w:r w:rsidR="00914D9D">
        <w:rPr>
          <w:rFonts w:ascii="Palatino Linotype" w:hAnsi="Palatino Linotype" w:cs="Arial"/>
          <w:lang w:val="es-MX"/>
        </w:rPr>
        <w:t>t</w:t>
      </w:r>
      <w:r w:rsidR="00E76662">
        <w:rPr>
          <w:rFonts w:ascii="Palatino Linotype" w:hAnsi="Palatino Linotype" w:cs="Arial"/>
          <w:lang w:val="es-MX"/>
        </w:rPr>
        <w:t>a</w:t>
      </w:r>
      <w:r w:rsidR="00DC12D0">
        <w:rPr>
          <w:rFonts w:ascii="Palatino Linotype" w:hAnsi="Palatino Linotype" w:cs="Arial"/>
          <w:lang w:val="es-MX"/>
        </w:rPr>
        <w:t xml:space="preserve"> </w:t>
      </w:r>
      <w:r w:rsidR="00202921" w:rsidRPr="0073286C">
        <w:rPr>
          <w:rFonts w:ascii="Palatino Linotype" w:hAnsi="Palatino Linotype" w:cs="Arial"/>
          <w:lang w:val="es-MX"/>
        </w:rPr>
        <w:t xml:space="preserve">reitera, </w:t>
      </w:r>
      <w:r w:rsidR="00DC12D0" w:rsidRPr="00DC12D0">
        <w:rPr>
          <w:rFonts w:ascii="Palatino Linotype" w:hAnsi="Palatino Linotype" w:cs="Arial"/>
          <w:lang w:val="es-MX"/>
        </w:rPr>
        <w:t xml:space="preserve">que si bien coincide en términos generales con el </w:t>
      </w:r>
      <w:r w:rsidR="005B45C9">
        <w:rPr>
          <w:rFonts w:ascii="Palatino Linotype" w:hAnsi="Palatino Linotype" w:cs="Arial"/>
          <w:lang w:val="es-MX"/>
        </w:rPr>
        <w:t>estudio</w:t>
      </w:r>
      <w:r w:rsidR="00DC12D0" w:rsidRPr="00DC12D0">
        <w:rPr>
          <w:rFonts w:ascii="Palatino Linotype" w:hAnsi="Palatino Linotype" w:cs="Arial"/>
          <w:lang w:val="es-MX"/>
        </w:rPr>
        <w:t xml:space="preserve"> de la resolución en comento, estim</w:t>
      </w:r>
      <w:r w:rsidR="005B45C9">
        <w:rPr>
          <w:rFonts w:ascii="Palatino Linotype" w:hAnsi="Palatino Linotype" w:cs="Arial"/>
          <w:lang w:val="es-MX"/>
        </w:rPr>
        <w:t>o</w:t>
      </w:r>
      <w:r w:rsidR="00DC12D0" w:rsidRPr="00DC12D0">
        <w:rPr>
          <w:rFonts w:ascii="Palatino Linotype" w:hAnsi="Palatino Linotype" w:cs="Arial"/>
          <w:lang w:val="es-MX"/>
        </w:rPr>
        <w:t xml:space="preserve"> necesario precisar que en cuanto hace a</w:t>
      </w:r>
      <w:r w:rsidR="005B45C9">
        <w:rPr>
          <w:rFonts w:ascii="Palatino Linotype" w:hAnsi="Palatino Linotype" w:cs="Arial"/>
          <w:lang w:val="es-MX"/>
        </w:rPr>
        <w:t xml:space="preserve"> la versión pública en la que se testan datos </w:t>
      </w:r>
      <w:r w:rsidR="005B45C9" w:rsidRPr="00925BEB">
        <w:rPr>
          <w:rFonts w:ascii="Palatino Linotype" w:hAnsi="Palatino Linotype" w:cs="Arial"/>
        </w:rPr>
        <w:t xml:space="preserve">personales que de darse a conocer pudieran </w:t>
      </w:r>
      <w:r w:rsidR="005B45C9" w:rsidRPr="00925BEB">
        <w:rPr>
          <w:rFonts w:ascii="Palatino Linotype" w:hAnsi="Palatino Linotype" w:cs="Arial"/>
        </w:rPr>
        <w:lastRenderedPageBreak/>
        <w:t>incidir en la intimidad de la trabajadora universitaria</w:t>
      </w:r>
      <w:r w:rsidR="00F259D4">
        <w:rPr>
          <w:rFonts w:ascii="Palatino Linotype" w:hAnsi="Palatino Linotype" w:cs="Arial"/>
        </w:rPr>
        <w:t xml:space="preserve"> </w:t>
      </w:r>
      <w:r w:rsidR="00F259D4">
        <w:rPr>
          <w:rFonts w:ascii="Palatino Linotype" w:hAnsi="Palatino Linotype" w:cs="Arial"/>
          <w:lang w:val="es-MX"/>
        </w:rPr>
        <w:t xml:space="preserve">tales como la fotografía, </w:t>
      </w:r>
      <w:r w:rsidR="005B45C9" w:rsidRPr="00925BEB">
        <w:rPr>
          <w:rFonts w:ascii="Palatino Linotype" w:hAnsi="Palatino Linotype" w:cs="Arial"/>
        </w:rPr>
        <w:t>con fundamento en los artículos 3</w:t>
      </w:r>
      <w:r w:rsidR="00F259D4">
        <w:rPr>
          <w:rFonts w:ascii="Palatino Linotype" w:hAnsi="Palatino Linotype" w:cs="Arial"/>
        </w:rPr>
        <w:t>,</w:t>
      </w:r>
      <w:r w:rsidR="005B45C9" w:rsidRPr="00925BEB">
        <w:rPr>
          <w:rFonts w:ascii="Palatino Linotype" w:hAnsi="Palatino Linotype" w:cs="Arial"/>
        </w:rPr>
        <w:t xml:space="preserve"> fracciones IX, XII, 122, 132, 143 fracción I y 149 de la Ley de Transparencia y Acceso a la Información Pública del Estado de México y Municipios, así como los artículos 2, 4 fracciones II y XI y 40 de la Ley de Protección de Datos Personales vigente en la entidad, artículo Trigésimo Octavo fracción I y Trigésimo Noveno de los Lineamientos Generales en Materia de Clasificación y Desclasificación de la información, así como para la Elaboración de Versiones Públicas</w:t>
      </w:r>
      <w:r w:rsidR="005B45C9">
        <w:rPr>
          <w:rFonts w:ascii="Palatino Linotype" w:hAnsi="Palatino Linotype" w:cs="Arial"/>
        </w:rPr>
        <w:t xml:space="preserve">, misma que fue validada por la Ponencia </w:t>
      </w:r>
      <w:proofErr w:type="spellStart"/>
      <w:r w:rsidR="005B45C9">
        <w:rPr>
          <w:rFonts w:ascii="Palatino Linotype" w:hAnsi="Palatino Linotype" w:cs="Arial"/>
        </w:rPr>
        <w:t>Resolutora</w:t>
      </w:r>
      <w:proofErr w:type="spellEnd"/>
      <w:r w:rsidR="005B45C9">
        <w:rPr>
          <w:rFonts w:ascii="Palatino Linotype" w:hAnsi="Palatino Linotype" w:cs="Arial"/>
        </w:rPr>
        <w:t>;</w:t>
      </w:r>
      <w:r w:rsidR="003F1DA8">
        <w:rPr>
          <w:rFonts w:ascii="Palatino Linotype" w:hAnsi="Palatino Linotype" w:cs="Arial"/>
          <w:lang w:val="es-MX"/>
        </w:rPr>
        <w:t xml:space="preserve"> no se comparte </w:t>
      </w:r>
      <w:r w:rsidR="00F259D4">
        <w:rPr>
          <w:rFonts w:ascii="Palatino Linotype" w:hAnsi="Palatino Linotype" w:cs="Arial"/>
          <w:lang w:val="es-MX"/>
        </w:rPr>
        <w:t xml:space="preserve">en razón de las </w:t>
      </w:r>
      <w:proofErr w:type="spellStart"/>
      <w:r w:rsidR="00F259D4">
        <w:rPr>
          <w:rFonts w:ascii="Palatino Linotype" w:hAnsi="Palatino Linotype" w:cs="Arial"/>
          <w:lang w:val="es-MX"/>
        </w:rPr>
        <w:t>cons</w:t>
      </w:r>
      <w:r w:rsidR="003F1DA8" w:rsidRPr="00803578">
        <w:rPr>
          <w:rFonts w:ascii="Palatino Linotype" w:hAnsi="Palatino Linotype" w:cs="Arial"/>
        </w:rPr>
        <w:t>ideraciones</w:t>
      </w:r>
      <w:proofErr w:type="spellEnd"/>
      <w:r w:rsidR="003F1DA8" w:rsidRPr="00803578">
        <w:rPr>
          <w:rFonts w:ascii="Palatino Linotype" w:hAnsi="Palatino Linotype" w:cs="Arial"/>
        </w:rPr>
        <w:t xml:space="preserve"> de hecho y de derecho referente a la fotografía de conformidad con los preceptos legales siguientes:</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rsidR="00914D9D" w:rsidRDefault="00914D9D" w:rsidP="00914D9D">
      <w:pPr>
        <w:ind w:left="709" w:right="757"/>
        <w:jc w:val="both"/>
        <w:rPr>
          <w:rFonts w:ascii="Palatino Linotype" w:hAnsi="Palatino Linotype" w:cs="Arial"/>
          <w:i/>
          <w:sz w:val="22"/>
        </w:rPr>
      </w:pPr>
      <w:r>
        <w:rPr>
          <w:rFonts w:ascii="Palatino Linotype" w:hAnsi="Palatino Linotype" w:cs="Arial"/>
          <w:i/>
          <w:sz w:val="22"/>
        </w:rPr>
        <w:t>…</w:t>
      </w:r>
    </w:p>
    <w:p w:rsidR="00613B67" w:rsidRPr="005C0FC0" w:rsidRDefault="00613B67" w:rsidP="0085156C">
      <w:pPr>
        <w:ind w:left="709" w:right="757"/>
        <w:jc w:val="both"/>
        <w:rPr>
          <w:rFonts w:ascii="Palatino Linotype" w:hAnsi="Palatino Linotype" w:cs="Arial"/>
          <w:sz w:val="22"/>
        </w:rPr>
      </w:pPr>
    </w:p>
    <w:p w:rsidR="003F1DA8" w:rsidRPr="005C0FC0" w:rsidRDefault="003F1DA8" w:rsidP="0085156C">
      <w:pPr>
        <w:ind w:left="709" w:right="757"/>
        <w:jc w:val="center"/>
        <w:rPr>
          <w:rFonts w:ascii="Palatino Linotype" w:hAnsi="Palatino Linotype" w:cs="Arial"/>
          <w:b/>
          <w:i/>
          <w:sz w:val="22"/>
        </w:rPr>
      </w:pPr>
      <w:r w:rsidRPr="005C0FC0">
        <w:rPr>
          <w:rFonts w:ascii="Palatino Linotype" w:hAnsi="Palatino Linotype" w:cs="Arial"/>
          <w:b/>
          <w:i/>
          <w:sz w:val="22"/>
        </w:rPr>
        <w:t>Criterios Internacionales</w:t>
      </w: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 xml:space="preserve">toda información es accesible, </w:t>
      </w:r>
      <w:r w:rsidRPr="00803578">
        <w:rPr>
          <w:rFonts w:ascii="Palatino Linotype" w:hAnsi="Palatino Linotype" w:cs="Arial"/>
          <w:b/>
          <w:i/>
          <w:sz w:val="22"/>
        </w:rPr>
        <w:lastRenderedPageBreak/>
        <w:t>sujeto a un sistema restringido de excepciones</w:t>
      </w:r>
      <w:r w:rsidRPr="00803578">
        <w:rPr>
          <w:rFonts w:ascii="Palatino Linotype" w:hAnsi="Palatino Linotype" w:cs="Arial"/>
          <w:i/>
          <w:sz w:val="22"/>
        </w:rPr>
        <w:t xml:space="preserve"> (Caso Gomes </w:t>
      </w:r>
      <w:proofErr w:type="spellStart"/>
      <w:r w:rsidRPr="00803578">
        <w:rPr>
          <w:rFonts w:ascii="Palatino Linotype" w:hAnsi="Palatino Linotype" w:cs="Arial"/>
          <w:i/>
          <w:sz w:val="22"/>
        </w:rPr>
        <w:t>Lund</w:t>
      </w:r>
      <w:proofErr w:type="spellEnd"/>
      <w:r w:rsidRPr="00803578">
        <w:rPr>
          <w:rFonts w:ascii="Palatino Linotype" w:hAnsi="Palatino Linotype" w:cs="Arial"/>
          <w:i/>
          <w:sz w:val="22"/>
        </w:rPr>
        <w:t xml:space="preserve"> y otros (</w:t>
      </w:r>
      <w:proofErr w:type="spellStart"/>
      <w:r w:rsidRPr="00803578">
        <w:rPr>
          <w:rFonts w:ascii="Palatino Linotype" w:hAnsi="Palatino Linotype" w:cs="Arial"/>
          <w:i/>
          <w:sz w:val="22"/>
        </w:rPr>
        <w:t>Guerrilha</w:t>
      </w:r>
      <w:proofErr w:type="spellEnd"/>
      <w:r w:rsidRPr="00803578">
        <w:rPr>
          <w:rFonts w:ascii="Palatino Linotype" w:hAnsi="Palatino Linotype" w:cs="Arial"/>
          <w:i/>
          <w:sz w:val="22"/>
        </w:rPr>
        <w:t xml:space="preserve"> do </w:t>
      </w:r>
      <w:proofErr w:type="spellStart"/>
      <w:r w:rsidRPr="00803578">
        <w:rPr>
          <w:rFonts w:ascii="Palatino Linotype" w:hAnsi="Palatino Linotype" w:cs="Arial"/>
          <w:i/>
          <w:sz w:val="22"/>
        </w:rPr>
        <w:t>Araguaia</w:t>
      </w:r>
      <w:proofErr w:type="spellEnd"/>
      <w:r w:rsidRPr="00803578">
        <w:rPr>
          <w:rFonts w:ascii="Palatino Linotype" w:hAnsi="Palatino Linotype" w:cs="Arial"/>
          <w:i/>
          <w:sz w:val="22"/>
        </w:rPr>
        <w:t>) Vs. Brasil. Excepciones Preliminares, Fondo, Reparaciones y Costas. Sentencia de 24 de noviembre de 2010, Serie C No. 219).</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Es así, que de la interpretación sistemática a los ordenamientos transcritos, </w:t>
      </w:r>
      <w:r w:rsidR="009E66D7">
        <w:rPr>
          <w:rFonts w:ascii="Palatino Linotype" w:hAnsi="Palatino Linotype" w:cs="Arial"/>
        </w:rPr>
        <w:t xml:space="preserve">en relación con los artículos 1°, 7°, </w:t>
      </w:r>
      <w:r w:rsidR="00B61623">
        <w:rPr>
          <w:rFonts w:ascii="Palatino Linotype" w:hAnsi="Palatino Linotype" w:cs="Arial"/>
        </w:rPr>
        <w:t>11,</w:t>
      </w:r>
      <w:r w:rsidR="009E66D7">
        <w:rPr>
          <w:rFonts w:ascii="Palatino Linotype" w:hAnsi="Palatino Linotype" w:cs="Arial"/>
        </w:rPr>
        <w:t xml:space="preserve"> 12,</w:t>
      </w:r>
      <w:r w:rsidR="00B61623">
        <w:rPr>
          <w:rFonts w:ascii="Palatino Linotype" w:hAnsi="Palatino Linotype" w:cs="Arial"/>
        </w:rPr>
        <w:t xml:space="preserve"> 100, 113 y 116</w:t>
      </w:r>
      <w:r w:rsidR="009E66D7">
        <w:rPr>
          <w:rFonts w:ascii="Palatino Linotype" w:hAnsi="Palatino Linotype" w:cs="Arial"/>
        </w:rPr>
        <w:t xml:space="preserve"> de la Ley General de Transparencia y Acceso a la Información Pública y 1°,</w:t>
      </w:r>
      <w:r w:rsidR="003015A2">
        <w:rPr>
          <w:rFonts w:ascii="Palatino Linotype" w:hAnsi="Palatino Linotype" w:cs="Arial"/>
        </w:rPr>
        <w:t xml:space="preserve"> 4°, 7°, 11,</w:t>
      </w:r>
      <w:r w:rsidR="009E66D7">
        <w:rPr>
          <w:rFonts w:ascii="Palatino Linotype" w:hAnsi="Palatino Linotype" w:cs="Arial"/>
        </w:rPr>
        <w:t xml:space="preserve"> 12, </w:t>
      </w:r>
      <w:r w:rsidR="003015A2">
        <w:rPr>
          <w:rFonts w:ascii="Palatino Linotype" w:hAnsi="Palatino Linotype" w:cs="Arial"/>
        </w:rPr>
        <w:t xml:space="preserve">140 y 143 </w:t>
      </w:r>
      <w:r w:rsidR="009E66D7">
        <w:rPr>
          <w:rFonts w:ascii="Palatino Linotype" w:hAnsi="Palatino Linotype" w:cs="Arial"/>
        </w:rPr>
        <w:t xml:space="preserve">de la Ley de Transparencia y Acceso a la Información Pública del Estado de México y Municipios, </w:t>
      </w:r>
      <w:r w:rsidRPr="00803578">
        <w:rPr>
          <w:rFonts w:ascii="Palatino Linotype" w:hAnsi="Palatino Linotype" w:cs="Arial"/>
        </w:rPr>
        <w:t xml:space="preserve">se obtiene que todo documento en poder de los Sujetos Obligados son por origen públicos, empero algunos de ellos pudiesen contener inmersos datos o información susceptible de ser clasificada, como información reservada o confidencial; entonces, la misma normatividad </w:t>
      </w:r>
      <w:r w:rsidR="00B61623">
        <w:rPr>
          <w:rFonts w:ascii="Palatino Linotype" w:hAnsi="Palatino Linotype" w:cs="Arial"/>
        </w:rPr>
        <w:t xml:space="preserve">es </w:t>
      </w:r>
      <w:r w:rsidRPr="00803578">
        <w:rPr>
          <w:rFonts w:ascii="Palatino Linotype" w:hAnsi="Palatino Linotype" w:cs="Arial"/>
        </w:rPr>
        <w:t xml:space="preserve">la que considera excepciones </w:t>
      </w:r>
      <w:r w:rsidR="00C86502">
        <w:rPr>
          <w:rFonts w:ascii="Palatino Linotype" w:hAnsi="Palatino Linotype" w:cs="Arial"/>
        </w:rPr>
        <w:t>al derecho de acceso a la información</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Pr="00803578" w:rsidRDefault="00BC033F" w:rsidP="003F1DA8">
      <w:pPr>
        <w:spacing w:line="360" w:lineRule="auto"/>
        <w:jc w:val="both"/>
        <w:rPr>
          <w:rFonts w:ascii="Palatino Linotype" w:hAnsi="Palatino Linotype" w:cs="Arial"/>
        </w:rPr>
      </w:pPr>
      <w:r>
        <w:rPr>
          <w:rFonts w:ascii="Palatino Linotype" w:hAnsi="Palatino Linotype" w:cs="Arial"/>
        </w:rPr>
        <w:t>En este sentido</w:t>
      </w:r>
      <w:r w:rsidR="003F1DA8" w:rsidRPr="00803578">
        <w:rPr>
          <w:rFonts w:ascii="Palatino Linotype" w:hAnsi="Palatino Linotype" w:cs="Arial"/>
        </w:rPr>
        <w:t xml:space="preserve">, es conveniente precisar que la información </w:t>
      </w:r>
      <w:r w:rsidR="003F1DA8" w:rsidRPr="00803578">
        <w:rPr>
          <w:rFonts w:ascii="Palatino Linotype" w:hAnsi="Palatino Linotype" w:cs="Arial"/>
          <w:b/>
        </w:rPr>
        <w:t>confidencial</w:t>
      </w:r>
      <w:r w:rsidR="003F1DA8" w:rsidRPr="00803578">
        <w:rPr>
          <w:rFonts w:ascii="Palatino Linotype" w:hAnsi="Palatino Linotype" w:cs="Arial"/>
        </w:rPr>
        <w:t xml:space="preserve"> es aquella que se refier</w:t>
      </w:r>
      <w:r w:rsidR="00D2657E">
        <w:rPr>
          <w:rFonts w:ascii="Palatino Linotype" w:hAnsi="Palatino Linotype" w:cs="Arial"/>
        </w:rPr>
        <w:t>e</w:t>
      </w:r>
      <w:r w:rsidR="003F1DA8" w:rsidRPr="00803578">
        <w:rPr>
          <w:rFonts w:ascii="Palatino Linotype" w:hAnsi="Palatino Linotype" w:cs="Arial"/>
        </w:rPr>
        <w:t xml:space="preserve"> a </w:t>
      </w:r>
      <w:r w:rsidR="003F1DA8" w:rsidRPr="00803578">
        <w:rPr>
          <w:rFonts w:ascii="Palatino Linotype" w:hAnsi="Palatino Linotype" w:cs="Arial"/>
          <w:b/>
        </w:rPr>
        <w:t>los datos personales concernientes a una persona identificada o identificable</w:t>
      </w:r>
      <w:r w:rsidR="003F1DA8" w:rsidRPr="00803578">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lo anterior, es menester señalar que por regla general la fotografía es un dato personal confidencial, en términos de lo dispuesto en el artículo 3</w:t>
      </w:r>
      <w:r w:rsidR="00CB18F9">
        <w:rPr>
          <w:rFonts w:ascii="Palatino Linotype" w:hAnsi="Palatino Linotype" w:cs="Arial"/>
        </w:rPr>
        <w:t>°</w:t>
      </w:r>
      <w:r w:rsidRPr="00803578">
        <w:rPr>
          <w:rFonts w:ascii="Palatino Linotype" w:hAnsi="Palatino Linotype" w:cs="Arial"/>
        </w:rPr>
        <w:t xml:space="preserve">, fracción IX y 143, fracción I de la Ley de Transparencia y Acceso a la Información Pública del Estado de </w:t>
      </w:r>
      <w:r w:rsidRPr="00803578">
        <w:rPr>
          <w:rFonts w:ascii="Palatino Linotype" w:hAnsi="Palatino Linotype" w:cs="Arial"/>
        </w:rPr>
        <w:lastRenderedPageBreak/>
        <w:t>México y Municipios, así como en el artículo 4</w:t>
      </w:r>
      <w:r w:rsidR="00CB18F9">
        <w:rPr>
          <w:rFonts w:ascii="Palatino Linotype" w:hAnsi="Palatino Linotype" w:cs="Arial"/>
        </w:rPr>
        <w:t>°</w:t>
      </w:r>
      <w:r w:rsidRPr="00803578">
        <w:rPr>
          <w:rFonts w:ascii="Palatino Linotype" w:hAnsi="Palatino Linotype" w:cs="Arial"/>
        </w:rPr>
        <w:t xml:space="preserve">,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 Se refiera a la información privada y los datos personales concernientes a una persona física o </w:t>
      </w:r>
      <w:proofErr w:type="gramStart"/>
      <w:r w:rsidRPr="00803578">
        <w:rPr>
          <w:rFonts w:ascii="Palatino Linotype" w:hAnsi="Palatino Linotype" w:cs="Arial"/>
          <w:i/>
          <w:sz w:val="22"/>
        </w:rPr>
        <w:t>jurídico</w:t>
      </w:r>
      <w:proofErr w:type="gramEnd"/>
      <w:r w:rsidRPr="00803578">
        <w:rPr>
          <w:rFonts w:ascii="Palatino Linotype" w:hAnsi="Palatino Linotype" w:cs="Arial"/>
          <w:i/>
          <w:sz w:val="22"/>
        </w:rPr>
        <w:t xml:space="preserve"> colectiva identificada o identificable;</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lastRenderedPageBreak/>
        <w:t>En este sentido</w:t>
      </w:r>
      <w:r w:rsidR="00CB18F9">
        <w:rPr>
          <w:rFonts w:ascii="Palatino Linotype" w:hAnsi="Palatino Linotype" w:cs="Arial"/>
        </w:rPr>
        <w:t>,</w:t>
      </w:r>
      <w:r w:rsidRPr="00803578">
        <w:rPr>
          <w:rFonts w:ascii="Palatino Linotype" w:hAnsi="Palatino Linotype" w:cs="Arial"/>
        </w:rPr>
        <w:t xml:space="preserve"> debemos analizar que, si bien el reconocimiento de los derechos humanos surge como limitante al poder absoluto del Estado, actualmente la existencia de mecanismos efectivos para hacer </w:t>
      </w:r>
      <w:r w:rsidR="001902DB">
        <w:rPr>
          <w:rFonts w:ascii="Palatino Linotype" w:hAnsi="Palatino Linotype" w:cs="Arial"/>
        </w:rPr>
        <w:t>respetar</w:t>
      </w:r>
      <w:r w:rsidRPr="00803578">
        <w:rPr>
          <w:rFonts w:ascii="Palatino Linotype" w:hAnsi="Palatino Linotype" w:cs="Arial"/>
        </w:rPr>
        <w:t xml:space="preserve"> o restituir a los individuos en el goce de los mismos</w:t>
      </w:r>
      <w:r w:rsidR="00CB18F9">
        <w:rPr>
          <w:rFonts w:ascii="Palatino Linotype" w:hAnsi="Palatino Linotype" w:cs="Arial"/>
        </w:rPr>
        <w:t>,</w:t>
      </w:r>
      <w:r w:rsidRPr="00803578">
        <w:rPr>
          <w:rFonts w:ascii="Palatino Linotype" w:hAnsi="Palatino Linotype" w:cs="Arial"/>
        </w:rPr>
        <w:t xml:space="preserve"> permiten en mejor manera el Estado de Derecho ante la vulnerabilidad del derecho a la intimidad ante los avances tecnológicos que </w:t>
      </w:r>
      <w:r w:rsidR="00EA34D2" w:rsidRPr="00803578">
        <w:rPr>
          <w:rFonts w:ascii="Palatino Linotype" w:hAnsi="Palatino Linotype" w:cs="Arial"/>
        </w:rPr>
        <w:t>consienten</w:t>
      </w:r>
      <w:r w:rsidRPr="00803578">
        <w:rPr>
          <w:rFonts w:ascii="Palatino Linotype" w:hAnsi="Palatino Linotype" w:cs="Arial"/>
        </w:rPr>
        <w:t xml:space="preserve"> la intromisión, recolección y tratamiento de sus datos personales y por tanto a la vida privada.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Así, la protección a los datos personales</w:t>
      </w:r>
      <w:r w:rsidR="00CB18F9">
        <w:rPr>
          <w:rFonts w:ascii="Palatino Linotype" w:hAnsi="Palatino Linotype" w:cs="Arial"/>
        </w:rPr>
        <w:t xml:space="preserve"> </w:t>
      </w:r>
      <w:r w:rsidR="00CB18F9" w:rsidRPr="00803578">
        <w:rPr>
          <w:rFonts w:ascii="Palatino Linotype" w:hAnsi="Palatino Linotype" w:cs="Arial"/>
        </w:rPr>
        <w:t>y a la vida privada</w:t>
      </w:r>
      <w:r w:rsidR="00CB18F9">
        <w:rPr>
          <w:rFonts w:ascii="Palatino Linotype" w:hAnsi="Palatino Linotype" w:cs="Arial"/>
        </w:rPr>
        <w:t>,</w:t>
      </w:r>
      <w:r w:rsidR="00CB18F9" w:rsidRPr="00803578">
        <w:rPr>
          <w:rFonts w:ascii="Palatino Linotype" w:hAnsi="Palatino Linotype" w:cs="Arial"/>
        </w:rPr>
        <w:t xml:space="preserve"> </w:t>
      </w:r>
      <w:r w:rsidR="00CB18F9">
        <w:rPr>
          <w:rFonts w:ascii="Palatino Linotype" w:hAnsi="Palatino Linotype" w:cs="Arial"/>
        </w:rPr>
        <w:t>previsto en el artículo 143, fracción I, de la Ley de Transparencia y Acceso a la Información Pública del Estado de México y Municipios,</w:t>
      </w:r>
      <w:r w:rsidRPr="00803578">
        <w:rPr>
          <w:rFonts w:ascii="Palatino Linotype" w:hAnsi="Palatino Linotype" w:cs="Arial"/>
        </w:rPr>
        <w:t xml:space="preserve"> </w:t>
      </w:r>
      <w:r w:rsidR="00CB18F9">
        <w:rPr>
          <w:rFonts w:ascii="Palatino Linotype" w:hAnsi="Palatino Linotype" w:cs="Arial"/>
        </w:rPr>
        <w:t>tiene por efecto</w:t>
      </w:r>
      <w:r w:rsidR="00CB18F9" w:rsidRPr="00803578">
        <w:rPr>
          <w:rFonts w:ascii="Palatino Linotype" w:hAnsi="Palatino Linotype" w:cs="Arial"/>
        </w:rPr>
        <w:t xml:space="preserve"> </w:t>
      </w:r>
      <w:r w:rsidRPr="00803578">
        <w:rPr>
          <w:rFonts w:ascii="Palatino Linotype" w:hAnsi="Palatino Linotype" w:cs="Arial"/>
        </w:rPr>
        <w:t xml:space="preserve">cuidar </w:t>
      </w:r>
      <w:r w:rsidR="00CB18F9">
        <w:rPr>
          <w:rFonts w:ascii="Palatino Linotype" w:hAnsi="Palatino Linotype" w:cs="Arial"/>
        </w:rPr>
        <w:t xml:space="preserve">que no se </w:t>
      </w:r>
      <w:r w:rsidRPr="00803578">
        <w:rPr>
          <w:rFonts w:ascii="Palatino Linotype" w:hAnsi="Palatino Linotype" w:cs="Arial"/>
        </w:rPr>
        <w:t>revel</w:t>
      </w:r>
      <w:r w:rsidR="00CB18F9">
        <w:rPr>
          <w:rFonts w:ascii="Palatino Linotype" w:hAnsi="Palatino Linotype" w:cs="Arial"/>
        </w:rPr>
        <w:t>e</w:t>
      </w:r>
      <w:r w:rsidRPr="00803578">
        <w:rPr>
          <w:rFonts w:ascii="Palatino Linotype" w:hAnsi="Palatino Linotype" w:cs="Arial"/>
        </w:rPr>
        <w:t xml:space="preserve"> información de los individuos</w:t>
      </w:r>
      <w:r w:rsidR="00CB18F9">
        <w:rPr>
          <w:rFonts w:ascii="Palatino Linotype" w:hAnsi="Palatino Linotype" w:cs="Arial"/>
        </w:rPr>
        <w:t xml:space="preserve"> en el ejercicio del derecho de acceso a la información en poder de los Sujetos Obligados</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Referente a lo anterior, es de indicar que </w:t>
      </w:r>
      <w:r w:rsidR="00E916DC">
        <w:rPr>
          <w:rFonts w:ascii="Palatino Linotype" w:hAnsi="Palatino Linotype" w:cs="Arial"/>
        </w:rPr>
        <w:t xml:space="preserve">si bien </w:t>
      </w:r>
      <w:r w:rsidRPr="00803578">
        <w:rPr>
          <w:rFonts w:ascii="Palatino Linotype" w:hAnsi="Palatino Linotype" w:cs="Arial"/>
        </w:rPr>
        <w:t xml:space="preserve">no hay algún ordenamiento del que se advierta la obligatoriedad para </w:t>
      </w:r>
      <w:r w:rsidR="005B45C9">
        <w:rPr>
          <w:rFonts w:ascii="Palatino Linotype" w:hAnsi="Palatino Linotype" w:cs="Arial"/>
        </w:rPr>
        <w:t xml:space="preserve">difundir </w:t>
      </w:r>
      <w:r w:rsidR="00E916DC">
        <w:rPr>
          <w:rFonts w:ascii="Palatino Linotype" w:hAnsi="Palatino Linotype" w:cs="Arial"/>
        </w:rPr>
        <w:t>su fotografía</w:t>
      </w:r>
      <w:r w:rsidRPr="00803578">
        <w:rPr>
          <w:rFonts w:ascii="Palatino Linotype" w:hAnsi="Palatino Linotype" w:cs="Arial"/>
        </w:rPr>
        <w:t xml:space="preserve">; </w:t>
      </w:r>
      <w:r>
        <w:rPr>
          <w:rFonts w:ascii="Palatino Linotype" w:hAnsi="Palatino Linotype" w:cs="Arial"/>
        </w:rPr>
        <w:t>en el caso</w:t>
      </w:r>
      <w:r w:rsidR="00E916DC">
        <w:rPr>
          <w:rFonts w:ascii="Palatino Linotype" w:hAnsi="Palatino Linotype" w:cs="Arial"/>
        </w:rPr>
        <w:t xml:space="preserve"> que nos ocupa</w:t>
      </w:r>
      <w:r w:rsidR="00CB18F9">
        <w:rPr>
          <w:rFonts w:ascii="Palatino Linotype" w:hAnsi="Palatino Linotype" w:cs="Arial"/>
        </w:rPr>
        <w:t>,</w:t>
      </w:r>
      <w:r w:rsidR="00E916DC">
        <w:rPr>
          <w:rFonts w:ascii="Palatino Linotype" w:hAnsi="Palatino Linotype" w:cs="Arial"/>
        </w:rPr>
        <w:t xml:space="preserve"> al asumir la </w:t>
      </w:r>
      <w:r w:rsidR="00CB18F9">
        <w:rPr>
          <w:rFonts w:ascii="Palatino Linotype" w:hAnsi="Palatino Linotype" w:cs="Arial"/>
        </w:rPr>
        <w:t xml:space="preserve">posesión de la </w:t>
      </w:r>
      <w:r w:rsidR="00E916DC">
        <w:rPr>
          <w:rFonts w:ascii="Palatino Linotype" w:hAnsi="Palatino Linotype" w:cs="Arial"/>
        </w:rPr>
        <w:t>información y proporcionarla mediante respuesta,</w:t>
      </w:r>
      <w:r w:rsidRPr="00803578">
        <w:rPr>
          <w:rFonts w:ascii="Palatino Linotype" w:hAnsi="Palatino Linotype" w:cs="Arial"/>
        </w:rPr>
        <w:t xml:space="preserve"> surge la disyuntiva si la misma es de carácter público o si bien debe prevalecer la confidencialidad. </w:t>
      </w:r>
    </w:p>
    <w:p w:rsidR="005B45C9" w:rsidRDefault="005B45C9" w:rsidP="003F1DA8">
      <w:pPr>
        <w:spacing w:line="360" w:lineRule="auto"/>
        <w:jc w:val="both"/>
        <w:rPr>
          <w:rFonts w:ascii="Palatino Linotype" w:hAnsi="Palatino Linotype" w:cs="Arial"/>
        </w:rPr>
      </w:pPr>
    </w:p>
    <w:p w:rsidR="00ED33FA" w:rsidRDefault="00E916DC" w:rsidP="00937C66">
      <w:pPr>
        <w:spacing w:line="360" w:lineRule="auto"/>
        <w:jc w:val="both"/>
        <w:rPr>
          <w:rFonts w:ascii="Palatino Linotype" w:hAnsi="Palatino Linotype" w:cs="Arial"/>
        </w:rPr>
      </w:pPr>
      <w:r w:rsidRPr="00803578">
        <w:rPr>
          <w:rFonts w:ascii="Palatino Linotype" w:hAnsi="Palatino Linotype" w:cs="Arial"/>
        </w:rPr>
        <w:t xml:space="preserve">Ante ello, es importante </w:t>
      </w:r>
      <w:r w:rsidR="00CB18F9">
        <w:rPr>
          <w:rFonts w:ascii="Palatino Linotype" w:hAnsi="Palatino Linotype" w:cs="Arial"/>
        </w:rPr>
        <w:t>destacar</w:t>
      </w:r>
      <w:r w:rsidR="00CB18F9" w:rsidRPr="00803578">
        <w:rPr>
          <w:rFonts w:ascii="Palatino Linotype" w:hAnsi="Palatino Linotype" w:cs="Arial"/>
        </w:rPr>
        <w:t xml:space="preserve"> </w:t>
      </w:r>
      <w:r w:rsidRPr="00803578">
        <w:rPr>
          <w:rFonts w:ascii="Palatino Linotype" w:hAnsi="Palatino Linotype" w:cs="Arial"/>
        </w:rPr>
        <w:t xml:space="preserve">que </w:t>
      </w:r>
      <w:r>
        <w:rPr>
          <w:rFonts w:ascii="Palatino Linotype" w:hAnsi="Palatino Linotype" w:cs="Arial"/>
        </w:rPr>
        <w:t>l</w:t>
      </w:r>
      <w:r w:rsidR="005B45C9">
        <w:rPr>
          <w:rFonts w:ascii="Palatino Linotype" w:hAnsi="Palatino Linotype" w:cs="Arial"/>
        </w:rPr>
        <w:t>a</w:t>
      </w:r>
      <w:r>
        <w:rPr>
          <w:rFonts w:ascii="Palatino Linotype" w:hAnsi="Palatino Linotype" w:cs="Arial"/>
        </w:rPr>
        <w:t xml:space="preserve"> servidor</w:t>
      </w:r>
      <w:r w:rsidR="005B45C9">
        <w:rPr>
          <w:rFonts w:ascii="Palatino Linotype" w:hAnsi="Palatino Linotype" w:cs="Arial"/>
        </w:rPr>
        <w:t>a</w:t>
      </w:r>
      <w:r>
        <w:rPr>
          <w:rFonts w:ascii="Palatino Linotype" w:hAnsi="Palatino Linotype" w:cs="Arial"/>
        </w:rPr>
        <w:t xml:space="preserve"> públic</w:t>
      </w:r>
      <w:r w:rsidR="005B45C9">
        <w:rPr>
          <w:rFonts w:ascii="Palatino Linotype" w:hAnsi="Palatino Linotype" w:cs="Arial"/>
        </w:rPr>
        <w:t>a</w:t>
      </w:r>
      <w:r w:rsidRPr="00803578">
        <w:rPr>
          <w:rFonts w:ascii="Palatino Linotype" w:hAnsi="Palatino Linotype" w:cs="Arial"/>
        </w:rPr>
        <w:t xml:space="preserve"> </w:t>
      </w:r>
      <w:r w:rsidR="00CB18F9">
        <w:rPr>
          <w:rFonts w:ascii="Palatino Linotype" w:hAnsi="Palatino Linotype" w:cs="Arial"/>
        </w:rPr>
        <w:t>señalad</w:t>
      </w:r>
      <w:r w:rsidR="005B45C9">
        <w:rPr>
          <w:rFonts w:ascii="Palatino Linotype" w:hAnsi="Palatino Linotype" w:cs="Arial"/>
        </w:rPr>
        <w:t>a</w:t>
      </w:r>
      <w:r w:rsidR="00CB18F9">
        <w:rPr>
          <w:rFonts w:ascii="Palatino Linotype" w:hAnsi="Palatino Linotype" w:cs="Arial"/>
        </w:rPr>
        <w:t>,</w:t>
      </w:r>
      <w:r w:rsidR="00CB18F9" w:rsidRPr="00803578">
        <w:rPr>
          <w:rFonts w:ascii="Palatino Linotype" w:hAnsi="Palatino Linotype" w:cs="Arial"/>
        </w:rPr>
        <w:t xml:space="preserve"> </w:t>
      </w:r>
      <w:r w:rsidRPr="00803578">
        <w:rPr>
          <w:rFonts w:ascii="Palatino Linotype" w:hAnsi="Palatino Linotype" w:cs="Arial"/>
        </w:rPr>
        <w:t>desempeña</w:t>
      </w:r>
      <w:r w:rsidR="00937C66">
        <w:rPr>
          <w:rFonts w:ascii="Palatino Linotype" w:hAnsi="Palatino Linotype" w:cs="Arial"/>
        </w:rPr>
        <w:t xml:space="preserve"> un </w:t>
      </w:r>
      <w:r w:rsidRPr="00803578">
        <w:rPr>
          <w:rFonts w:ascii="Palatino Linotype" w:hAnsi="Palatino Linotype" w:cs="Arial"/>
        </w:rPr>
        <w:t xml:space="preserve">cargo cuyas atribuciones -entre otras- </w:t>
      </w:r>
      <w:r>
        <w:rPr>
          <w:rFonts w:ascii="Palatino Linotype" w:hAnsi="Palatino Linotype" w:cs="Arial"/>
        </w:rPr>
        <w:t xml:space="preserve">son enfocadas a un rol </w:t>
      </w:r>
      <w:r w:rsidR="00937C66">
        <w:rPr>
          <w:rFonts w:ascii="Palatino Linotype" w:hAnsi="Palatino Linotype" w:cs="Arial"/>
        </w:rPr>
        <w:t>encaminado a c</w:t>
      </w:r>
      <w:r w:rsidR="00937C66" w:rsidRPr="00937C66">
        <w:rPr>
          <w:rFonts w:ascii="Palatino Linotype" w:hAnsi="Palatino Linotype" w:cs="Arial"/>
        </w:rPr>
        <w:t>oncentrar y asegurar el resguardo de la documentación relacionada con la identidad personal y</w:t>
      </w:r>
      <w:r w:rsidR="00937C66">
        <w:rPr>
          <w:rFonts w:ascii="Palatino Linotype" w:hAnsi="Palatino Linotype" w:cs="Arial"/>
        </w:rPr>
        <w:t xml:space="preserve"> </w:t>
      </w:r>
      <w:r w:rsidR="00937C66" w:rsidRPr="00937C66">
        <w:rPr>
          <w:rFonts w:ascii="Palatino Linotype" w:hAnsi="Palatino Linotype" w:cs="Arial"/>
        </w:rPr>
        <w:lastRenderedPageBreak/>
        <w:t>laboral de los trabajadores universitario</w:t>
      </w:r>
      <w:r w:rsidR="00937C66">
        <w:rPr>
          <w:rFonts w:ascii="Palatino Linotype" w:hAnsi="Palatino Linotype" w:cs="Arial"/>
        </w:rPr>
        <w:t>s</w:t>
      </w:r>
      <w:r w:rsidR="00937C66" w:rsidRPr="00937C66">
        <w:rPr>
          <w:rFonts w:ascii="Palatino Linotype" w:hAnsi="Palatino Linotype" w:cs="Arial"/>
        </w:rPr>
        <w:t>, dando cumplimiento a las disposiciones emitidas en materia</w:t>
      </w:r>
      <w:r w:rsidR="00937C66">
        <w:rPr>
          <w:rFonts w:ascii="Palatino Linotype" w:hAnsi="Palatino Linotype" w:cs="Arial"/>
        </w:rPr>
        <w:t xml:space="preserve"> </w:t>
      </w:r>
      <w:r w:rsidR="00937C66" w:rsidRPr="00937C66">
        <w:rPr>
          <w:rFonts w:ascii="Palatino Linotype" w:hAnsi="Palatino Linotype" w:cs="Arial"/>
        </w:rPr>
        <w:t>de administración de documentos, así como de la legislación correspondiente y las relacionadas con</w:t>
      </w:r>
      <w:r w:rsidR="00937C66">
        <w:rPr>
          <w:rFonts w:ascii="Palatino Linotype" w:hAnsi="Palatino Linotype" w:cs="Arial"/>
        </w:rPr>
        <w:t xml:space="preserve"> </w:t>
      </w:r>
      <w:r w:rsidR="00937C66" w:rsidRPr="00937C66">
        <w:rPr>
          <w:rFonts w:ascii="Palatino Linotype" w:hAnsi="Palatino Linotype" w:cs="Arial"/>
        </w:rPr>
        <w:t>la transparencia y acceso a la información</w:t>
      </w:r>
      <w:r w:rsidR="00AE68F8">
        <w:rPr>
          <w:rFonts w:ascii="Palatino Linotype" w:hAnsi="Palatino Linotype" w:cs="Arial"/>
        </w:rPr>
        <w:t>,</w:t>
      </w:r>
      <w:r w:rsidR="00ED33FA" w:rsidRPr="00ED33FA">
        <w:rPr>
          <w:rFonts w:ascii="Palatino Linotype" w:hAnsi="Palatino Linotype" w:cs="Arial"/>
        </w:rPr>
        <w:t xml:space="preserve"> </w:t>
      </w:r>
      <w:r w:rsidR="00CB18F9">
        <w:rPr>
          <w:rFonts w:ascii="Palatino Linotype" w:hAnsi="Palatino Linotype" w:cs="Arial"/>
        </w:rPr>
        <w:t xml:space="preserve">por lo que </w:t>
      </w:r>
      <w:r w:rsidR="00937C66">
        <w:rPr>
          <w:rFonts w:ascii="Palatino Linotype" w:hAnsi="Palatino Linotype" w:cs="Arial"/>
        </w:rPr>
        <w:t>es un medio de</w:t>
      </w:r>
      <w:r w:rsidR="00CB18F9">
        <w:rPr>
          <w:rFonts w:ascii="Palatino Linotype" w:hAnsi="Palatino Linotype" w:cs="Arial"/>
        </w:rPr>
        <w:t xml:space="preserve"> </w:t>
      </w:r>
      <w:r w:rsidR="00ED33FA" w:rsidRPr="00ED33FA">
        <w:rPr>
          <w:rFonts w:ascii="Palatino Linotype" w:hAnsi="Palatino Linotype" w:cs="Arial"/>
        </w:rPr>
        <w:t>contacto</w:t>
      </w:r>
      <w:r w:rsidR="000D02DB">
        <w:rPr>
          <w:rFonts w:ascii="Palatino Linotype" w:hAnsi="Palatino Linotype" w:cs="Arial"/>
        </w:rPr>
        <w:t xml:space="preserve"> </w:t>
      </w:r>
      <w:r w:rsidR="00ED33FA" w:rsidRPr="00ED33FA">
        <w:rPr>
          <w:rFonts w:ascii="Palatino Linotype" w:hAnsi="Palatino Linotype" w:cs="Arial"/>
        </w:rPr>
        <w:t>entre la gestión gubernamental y la ciudadanía.</w:t>
      </w:r>
    </w:p>
    <w:p w:rsidR="00ED33FA" w:rsidRDefault="00ED33FA" w:rsidP="00ED33FA">
      <w:pPr>
        <w:spacing w:line="360" w:lineRule="auto"/>
        <w:jc w:val="both"/>
        <w:rPr>
          <w:rFonts w:ascii="Palatino Linotype" w:hAnsi="Palatino Linotype" w:cs="Arial"/>
        </w:rPr>
      </w:pPr>
    </w:p>
    <w:p w:rsidR="00937C66" w:rsidRDefault="003F1DA8" w:rsidP="003F1DA8">
      <w:pPr>
        <w:spacing w:line="360" w:lineRule="auto"/>
        <w:jc w:val="both"/>
        <w:rPr>
          <w:rFonts w:ascii="Palatino Linotype" w:hAnsi="Palatino Linotype" w:cs="Arial"/>
        </w:rPr>
      </w:pPr>
      <w:r w:rsidRPr="00803578">
        <w:rPr>
          <w:rFonts w:ascii="Palatino Linotype" w:hAnsi="Palatino Linotype" w:cs="Arial"/>
        </w:rPr>
        <w:t>Dicho de otra manera, la publicidad de la imagen de su rostro permite que sea asociad</w:t>
      </w:r>
      <w:r>
        <w:rPr>
          <w:rFonts w:ascii="Palatino Linotype" w:hAnsi="Palatino Linotype" w:cs="Arial"/>
        </w:rPr>
        <w:t>o</w:t>
      </w:r>
      <w:r w:rsidRPr="00803578">
        <w:rPr>
          <w:rFonts w:ascii="Palatino Linotype" w:hAnsi="Palatino Linotype" w:cs="Arial"/>
        </w:rPr>
        <w:t>, en su caso con su nombre, cargo y función de gobierno</w:t>
      </w:r>
      <w:r w:rsidR="000C7201">
        <w:rPr>
          <w:rFonts w:ascii="Palatino Linotype" w:hAnsi="Palatino Linotype" w:cs="Arial"/>
        </w:rPr>
        <w:t xml:space="preserve">; lo que permite a la ciudadanía identificar al servidor público encargado del </w:t>
      </w:r>
      <w:r w:rsidR="00937C66">
        <w:rPr>
          <w:rFonts w:ascii="Palatino Linotype" w:hAnsi="Palatino Linotype" w:cs="Arial"/>
        </w:rPr>
        <w:t>resguardo del historial laboral de quienes se encuentran adscritos a dicha Institución.</w:t>
      </w:r>
    </w:p>
    <w:p w:rsidR="003F1DA8" w:rsidRPr="00803578" w:rsidRDefault="003F1DA8" w:rsidP="003F1DA8">
      <w:pPr>
        <w:spacing w:line="360" w:lineRule="auto"/>
        <w:jc w:val="both"/>
        <w:rPr>
          <w:rFonts w:ascii="Palatino Linotype" w:hAnsi="Palatino Linotype" w:cs="Arial"/>
        </w:rPr>
      </w:pPr>
    </w:p>
    <w:p w:rsidR="003F1DA8" w:rsidRDefault="003F1DA8" w:rsidP="00937C66">
      <w:pPr>
        <w:spacing w:line="360" w:lineRule="auto"/>
        <w:jc w:val="both"/>
        <w:rPr>
          <w:rFonts w:ascii="Palatino Linotype" w:hAnsi="Palatino Linotype" w:cs="Arial"/>
        </w:rPr>
      </w:pPr>
      <w:r w:rsidRPr="00803578">
        <w:rPr>
          <w:rFonts w:ascii="Palatino Linotype" w:hAnsi="Palatino Linotype" w:cs="Arial"/>
        </w:rPr>
        <w:t xml:space="preserve">Asimismo, </w:t>
      </w:r>
      <w:r w:rsidR="006E6142" w:rsidRPr="00803578">
        <w:rPr>
          <w:rFonts w:ascii="Palatino Linotype" w:hAnsi="Palatino Linotype" w:cs="Arial"/>
        </w:rPr>
        <w:t>l</w:t>
      </w:r>
      <w:r w:rsidR="00937C66">
        <w:rPr>
          <w:rFonts w:ascii="Palatino Linotype" w:hAnsi="Palatino Linotype" w:cs="Arial"/>
        </w:rPr>
        <w:t>a</w:t>
      </w:r>
      <w:r w:rsidR="006E6142" w:rsidRPr="00803578">
        <w:rPr>
          <w:rFonts w:ascii="Palatino Linotype" w:hAnsi="Palatino Linotype" w:cs="Arial"/>
        </w:rPr>
        <w:t xml:space="preserve"> </w:t>
      </w:r>
      <w:r w:rsidR="006E6142">
        <w:rPr>
          <w:rFonts w:ascii="Palatino Linotype" w:hAnsi="Palatino Linotype" w:cs="Arial"/>
        </w:rPr>
        <w:t>s</w:t>
      </w:r>
      <w:r w:rsidRPr="00803578">
        <w:rPr>
          <w:rFonts w:ascii="Palatino Linotype" w:hAnsi="Palatino Linotype" w:cs="Arial"/>
        </w:rPr>
        <w:t>uscri</w:t>
      </w:r>
      <w:r w:rsidR="006E6142">
        <w:rPr>
          <w:rFonts w:ascii="Palatino Linotype" w:hAnsi="Palatino Linotype" w:cs="Arial"/>
        </w:rPr>
        <w:t>t</w:t>
      </w:r>
      <w:r w:rsidR="00937C66">
        <w:rPr>
          <w:rFonts w:ascii="Palatino Linotype" w:hAnsi="Palatino Linotype" w:cs="Arial"/>
        </w:rPr>
        <w:t>a</w:t>
      </w:r>
      <w:r w:rsidRPr="00803578">
        <w:rPr>
          <w:rFonts w:ascii="Palatino Linotype" w:hAnsi="Palatino Linotype" w:cs="Arial"/>
        </w:rPr>
        <w:t xml:space="preserve"> estima que ostentar un cargo público conlleva a permitir cierta intromisión</w:t>
      </w:r>
      <w:r w:rsidR="006E6142">
        <w:rPr>
          <w:rFonts w:ascii="Palatino Linotype" w:hAnsi="Palatino Linotype" w:cs="Arial"/>
        </w:rPr>
        <w:t xml:space="preserve"> en la vida de los servidores públicos</w:t>
      </w:r>
      <w:r w:rsidR="00AD622E">
        <w:rPr>
          <w:rFonts w:ascii="Palatino Linotype" w:hAnsi="Palatino Linotype" w:cs="Arial"/>
        </w:rPr>
        <w:t xml:space="preserve"> cuando la información reviste relevancia por o para el ejercicio de sus funciones;</w:t>
      </w:r>
      <w:r w:rsidR="00AD622E" w:rsidRPr="00803578">
        <w:rPr>
          <w:rFonts w:ascii="Palatino Linotype" w:hAnsi="Palatino Linotype" w:cs="Arial"/>
        </w:rPr>
        <w:t xml:space="preserve"> </w:t>
      </w:r>
      <w:r w:rsidRPr="00803578">
        <w:rPr>
          <w:rFonts w:ascii="Palatino Linotype" w:hAnsi="Palatino Linotype" w:cs="Arial"/>
        </w:rPr>
        <w:t>en es</w:t>
      </w:r>
      <w:r w:rsidR="006E6142">
        <w:rPr>
          <w:rFonts w:ascii="Palatino Linotype" w:hAnsi="Palatino Linotype" w:cs="Arial"/>
        </w:rPr>
        <w:t>t</w:t>
      </w:r>
      <w:r w:rsidRPr="00803578">
        <w:rPr>
          <w:rFonts w:ascii="Palatino Linotype" w:hAnsi="Palatino Linotype" w:cs="Arial"/>
        </w:rPr>
        <w:t xml:space="preserve">e caso, </w:t>
      </w:r>
      <w:r w:rsidR="006E6142">
        <w:rPr>
          <w:rFonts w:ascii="Palatino Linotype" w:hAnsi="Palatino Linotype" w:cs="Arial"/>
        </w:rPr>
        <w:t>tienen que ceder o conceder la publ</w:t>
      </w:r>
      <w:r w:rsidR="00AD622E">
        <w:rPr>
          <w:rFonts w:ascii="Palatino Linotype" w:hAnsi="Palatino Linotype" w:cs="Arial"/>
        </w:rPr>
        <w:t xml:space="preserve">icidad de su imagen cuando </w:t>
      </w:r>
      <w:r w:rsidR="00195CD1">
        <w:rPr>
          <w:rFonts w:ascii="Palatino Linotype" w:hAnsi="Palatino Linotype" w:cs="Arial"/>
        </w:rPr>
        <w:t>derivado de sus atribuciones atiende de manera directa trámites o servicios o, aun no siendo de manera directa, son los responsables de autorizarlos</w:t>
      </w:r>
      <w:r w:rsidRPr="00803578">
        <w:rPr>
          <w:rFonts w:ascii="Palatino Linotype" w:hAnsi="Palatino Linotype" w:cs="Arial"/>
        </w:rPr>
        <w:t>. En es</w:t>
      </w:r>
      <w:r w:rsidR="00AD622E">
        <w:rPr>
          <w:rFonts w:ascii="Palatino Linotype" w:hAnsi="Palatino Linotype" w:cs="Arial"/>
        </w:rPr>
        <w:t>t</w:t>
      </w:r>
      <w:r w:rsidRPr="00803578">
        <w:rPr>
          <w:rFonts w:ascii="Palatino Linotype" w:hAnsi="Palatino Linotype" w:cs="Arial"/>
        </w:rPr>
        <w:t>e marco, resulta claro que la fotografía de</w:t>
      </w:r>
      <w:r w:rsidR="00937C66">
        <w:rPr>
          <w:rFonts w:ascii="Palatino Linotype" w:hAnsi="Palatino Linotype" w:cs="Arial"/>
        </w:rPr>
        <w:t xml:space="preserve"> </w:t>
      </w:r>
      <w:r w:rsidRPr="00803578">
        <w:rPr>
          <w:rFonts w:ascii="Palatino Linotype" w:hAnsi="Palatino Linotype" w:cs="Arial"/>
        </w:rPr>
        <w:t>l</w:t>
      </w:r>
      <w:r w:rsidR="00937C66">
        <w:rPr>
          <w:rFonts w:ascii="Palatino Linotype" w:hAnsi="Palatino Linotype" w:cs="Arial"/>
        </w:rPr>
        <w:t>a</w:t>
      </w:r>
      <w:r w:rsidRPr="00803578">
        <w:rPr>
          <w:rFonts w:ascii="Palatino Linotype" w:hAnsi="Palatino Linotype" w:cs="Arial"/>
        </w:rPr>
        <w:t xml:space="preserve"> servidor</w:t>
      </w:r>
      <w:r w:rsidR="00937C66">
        <w:rPr>
          <w:rFonts w:ascii="Palatino Linotype" w:hAnsi="Palatino Linotype" w:cs="Arial"/>
        </w:rPr>
        <w:t>a</w:t>
      </w:r>
      <w:r w:rsidRPr="00803578">
        <w:rPr>
          <w:rFonts w:ascii="Palatino Linotype" w:hAnsi="Palatino Linotype" w:cs="Arial"/>
        </w:rPr>
        <w:t xml:space="preserve"> públic</w:t>
      </w:r>
      <w:r w:rsidR="00937C66">
        <w:rPr>
          <w:rFonts w:ascii="Palatino Linotype" w:hAnsi="Palatino Linotype" w:cs="Arial"/>
        </w:rPr>
        <w:t>a</w:t>
      </w:r>
      <w:r w:rsidRPr="00803578">
        <w:rPr>
          <w:rFonts w:ascii="Palatino Linotype" w:hAnsi="Palatino Linotype" w:cs="Arial"/>
        </w:rPr>
        <w:t xml:space="preserve"> </w:t>
      </w:r>
      <w:r w:rsidR="00937C66">
        <w:rPr>
          <w:rFonts w:ascii="Palatino Linotype" w:hAnsi="Palatino Linotype" w:cs="Arial"/>
        </w:rPr>
        <w:t>encargada además de p</w:t>
      </w:r>
      <w:r w:rsidR="00937C66" w:rsidRPr="00937C66">
        <w:rPr>
          <w:rFonts w:ascii="Palatino Linotype" w:hAnsi="Palatino Linotype" w:cs="Arial"/>
        </w:rPr>
        <w:t>roporcionar la información y documentación que soliciten los órganos fiscalizadores interno y</w:t>
      </w:r>
      <w:r w:rsidR="00937C66">
        <w:rPr>
          <w:rFonts w:ascii="Palatino Linotype" w:hAnsi="Palatino Linotype" w:cs="Arial"/>
        </w:rPr>
        <w:t xml:space="preserve"> </w:t>
      </w:r>
      <w:r w:rsidR="00937C66" w:rsidRPr="00937C66">
        <w:rPr>
          <w:rFonts w:ascii="Palatino Linotype" w:hAnsi="Palatino Linotype" w:cs="Arial"/>
        </w:rPr>
        <w:t>externos cuando realicen auditorías a la U</w:t>
      </w:r>
      <w:r w:rsidR="00EA34D2">
        <w:rPr>
          <w:rFonts w:ascii="Palatino Linotype" w:hAnsi="Palatino Linotype" w:cs="Arial"/>
        </w:rPr>
        <w:t>niversidad Autónoma del Estado de México</w:t>
      </w:r>
      <w:r w:rsidR="00937C66" w:rsidRPr="00937C66">
        <w:rPr>
          <w:rFonts w:ascii="Palatino Linotype" w:hAnsi="Palatino Linotype" w:cs="Arial"/>
        </w:rPr>
        <w:t>, y en su caso, atender las observaciones que de</w:t>
      </w:r>
      <w:r w:rsidR="00937C66">
        <w:rPr>
          <w:rFonts w:ascii="Palatino Linotype" w:hAnsi="Palatino Linotype" w:cs="Arial"/>
        </w:rPr>
        <w:t xml:space="preserve"> </w:t>
      </w:r>
      <w:r w:rsidR="00937C66" w:rsidRPr="00937C66">
        <w:rPr>
          <w:rFonts w:ascii="Palatino Linotype" w:hAnsi="Palatino Linotype" w:cs="Arial"/>
        </w:rPr>
        <w:t>ellas se deriven en mate</w:t>
      </w:r>
      <w:r w:rsidR="00937C66">
        <w:rPr>
          <w:rFonts w:ascii="Palatino Linotype" w:hAnsi="Palatino Linotype" w:cs="Arial"/>
        </w:rPr>
        <w:t xml:space="preserve">ria de Recursos Humanos, </w:t>
      </w:r>
      <w:r w:rsidRPr="00803578">
        <w:rPr>
          <w:rFonts w:ascii="Palatino Linotype" w:hAnsi="Palatino Linotype" w:cs="Arial"/>
        </w:rPr>
        <w:t xml:space="preserve">conlleva una responsabilidad mayor a la de desempeñar un cargo cuyas funciones no son sustantivas del </w:t>
      </w:r>
      <w:r w:rsidR="00BA605E" w:rsidRPr="00803578">
        <w:rPr>
          <w:rFonts w:ascii="Palatino Linotype" w:hAnsi="Palatino Linotype" w:cs="Arial"/>
        </w:rPr>
        <w:t>área</w:t>
      </w:r>
      <w:r w:rsidRPr="00803578">
        <w:rPr>
          <w:rFonts w:ascii="Palatino Linotype" w:hAnsi="Palatino Linotype" w:cs="Arial"/>
        </w:rPr>
        <w:t xml:space="preserve"> de adscripción. Entonces, se entiende que la publicidad de la fotografía, incluida en un </w:t>
      </w:r>
      <w:r w:rsidRPr="00803578">
        <w:rPr>
          <w:rFonts w:ascii="Palatino Linotype" w:hAnsi="Palatino Linotype" w:cs="Arial"/>
        </w:rPr>
        <w:lastRenderedPageBreak/>
        <w:t xml:space="preserve">documento de acceso público favorece la rendición de cuentas, al permitir a las personas conocer a sus autoridades. </w:t>
      </w:r>
    </w:p>
    <w:p w:rsidR="00EC10B5" w:rsidRDefault="00EC10B5" w:rsidP="00EC10B5">
      <w:pPr>
        <w:spacing w:line="360" w:lineRule="auto"/>
        <w:jc w:val="both"/>
        <w:rPr>
          <w:rFonts w:ascii="Palatino Linotype" w:hAnsi="Palatino Linotype"/>
        </w:rPr>
      </w:pPr>
    </w:p>
    <w:p w:rsidR="00EC10B5" w:rsidRPr="00DF7C9A" w:rsidRDefault="00EC10B5">
      <w:pPr>
        <w:spacing w:line="360" w:lineRule="auto"/>
        <w:jc w:val="both"/>
        <w:rPr>
          <w:rFonts w:ascii="Palatino Linotype" w:hAnsi="Palatino Linotype"/>
        </w:rPr>
      </w:pPr>
      <w:r>
        <w:rPr>
          <w:rFonts w:ascii="Palatino Linotype" w:hAnsi="Palatino Linotype"/>
        </w:rPr>
        <w:t xml:space="preserve">Aún más, es importante tomar en cuenta que </w:t>
      </w:r>
      <w:r w:rsidR="00937C66">
        <w:rPr>
          <w:rFonts w:ascii="Palatino Linotype" w:hAnsi="Palatino Linotype"/>
        </w:rPr>
        <w:t>el</w:t>
      </w:r>
      <w:r>
        <w:rPr>
          <w:rFonts w:ascii="Palatino Linotype" w:hAnsi="Palatino Linotype"/>
        </w:rPr>
        <w:t xml:space="preserve"> d</w:t>
      </w:r>
      <w:r w:rsidR="00937C66">
        <w:rPr>
          <w:rFonts w:ascii="Palatino Linotype" w:hAnsi="Palatino Linotype"/>
        </w:rPr>
        <w:t xml:space="preserve">ocumento </w:t>
      </w:r>
      <w:r w:rsidR="00157E8B">
        <w:rPr>
          <w:rFonts w:ascii="Palatino Linotype" w:hAnsi="Palatino Linotype"/>
        </w:rPr>
        <w:t>testado es</w:t>
      </w:r>
      <w:r w:rsidR="00937C66">
        <w:rPr>
          <w:rFonts w:ascii="Palatino Linotype" w:hAnsi="Palatino Linotype"/>
        </w:rPr>
        <w:t xml:space="preserve"> aquel</w:t>
      </w:r>
      <w:r>
        <w:rPr>
          <w:rFonts w:ascii="Palatino Linotype" w:hAnsi="Palatino Linotype"/>
        </w:rPr>
        <w:t xml:space="preserve"> que acredita el nivel de estudios de l</w:t>
      </w:r>
      <w:r w:rsidR="00157E8B">
        <w:rPr>
          <w:rFonts w:ascii="Palatino Linotype" w:hAnsi="Palatino Linotype"/>
        </w:rPr>
        <w:t>a</w:t>
      </w:r>
      <w:r>
        <w:rPr>
          <w:rFonts w:ascii="Palatino Linotype" w:hAnsi="Palatino Linotype"/>
        </w:rPr>
        <w:t xml:space="preserve"> servidor</w:t>
      </w:r>
      <w:r w:rsidR="00157E8B">
        <w:rPr>
          <w:rFonts w:ascii="Palatino Linotype" w:hAnsi="Palatino Linotype"/>
        </w:rPr>
        <w:t>a</w:t>
      </w:r>
      <w:r>
        <w:rPr>
          <w:rFonts w:ascii="Palatino Linotype" w:hAnsi="Palatino Linotype"/>
        </w:rPr>
        <w:t xml:space="preserve"> públic</w:t>
      </w:r>
      <w:r w:rsidR="00157E8B">
        <w:rPr>
          <w:rFonts w:ascii="Palatino Linotype" w:hAnsi="Palatino Linotype"/>
        </w:rPr>
        <w:t>a</w:t>
      </w:r>
      <w:r>
        <w:rPr>
          <w:rFonts w:ascii="Palatino Linotype" w:hAnsi="Palatino Linotype"/>
        </w:rPr>
        <w:t xml:space="preserve">; de tal suerte que </w:t>
      </w:r>
      <w:r w:rsidRPr="00CA00F0">
        <w:rPr>
          <w:rFonts w:ascii="Palatino Linotype" w:hAnsi="Palatino Linotype"/>
        </w:rPr>
        <w:t>el acceso</w:t>
      </w:r>
      <w:r>
        <w:rPr>
          <w:rFonts w:ascii="Palatino Linotype" w:hAnsi="Palatino Linotype"/>
        </w:rPr>
        <w:t xml:space="preserve"> a esta</w:t>
      </w:r>
      <w:r w:rsidRPr="00CA00F0">
        <w:rPr>
          <w:rFonts w:ascii="Palatino Linotype" w:hAnsi="Palatino Linotype"/>
        </w:rPr>
        <w:t xml:space="preserve"> información permite a la ciudadanía verificar que </w:t>
      </w:r>
      <w:r w:rsidR="00EA34D2">
        <w:rPr>
          <w:rFonts w:ascii="Palatino Linotype" w:hAnsi="Palatino Linotype"/>
        </w:rPr>
        <w:t>los servidores públicos cuente</w:t>
      </w:r>
      <w:r w:rsidRPr="00CA00F0">
        <w:rPr>
          <w:rFonts w:ascii="Palatino Linotype" w:hAnsi="Palatino Linotype"/>
        </w:rPr>
        <w:t xml:space="preserve">n con el grado académico con el que se ostentan, así como si su perfil profesional es idóneo para </w:t>
      </w:r>
      <w:r>
        <w:rPr>
          <w:rFonts w:ascii="Palatino Linotype" w:hAnsi="Palatino Linotype"/>
        </w:rPr>
        <w:t xml:space="preserve">desempeñar el cargo encomendado; incluso existen documentos como </w:t>
      </w:r>
      <w:r w:rsidR="00EA34D2" w:rsidRPr="00EA34D2">
        <w:rPr>
          <w:rFonts w:ascii="Palatino Linotype" w:hAnsi="Palatino Linotype"/>
          <w:b/>
        </w:rPr>
        <w:t>la carta de pasante</w:t>
      </w:r>
      <w:r w:rsidR="00EA34D2">
        <w:rPr>
          <w:rFonts w:ascii="Palatino Linotype" w:hAnsi="Palatino Linotype"/>
        </w:rPr>
        <w:t xml:space="preserve">, </w:t>
      </w:r>
      <w:r>
        <w:rPr>
          <w:rFonts w:ascii="Palatino Linotype" w:hAnsi="Palatino Linotype"/>
        </w:rPr>
        <w:t xml:space="preserve">el título </w:t>
      </w:r>
      <w:r w:rsidR="00EA34D2">
        <w:rPr>
          <w:rFonts w:ascii="Palatino Linotype" w:hAnsi="Palatino Linotype"/>
        </w:rPr>
        <w:t>o</w:t>
      </w:r>
      <w:r>
        <w:rPr>
          <w:rFonts w:ascii="Palatino Linotype" w:hAnsi="Palatino Linotype"/>
        </w:rPr>
        <w:t xml:space="preserve"> la cédula profesional que justamente su naturaleza son las de ser documentos de identificación de su titular frente a cualquier persona, para acreditar que han sido autorizados por el Estado para ejercer una profesión</w:t>
      </w:r>
      <w:r w:rsidR="00EA34D2">
        <w:rPr>
          <w:rFonts w:ascii="Palatino Linotype" w:hAnsi="Palatino Linotype"/>
        </w:rPr>
        <w:t xml:space="preserve"> en los casos que así lo requiera</w:t>
      </w:r>
      <w:r>
        <w:rPr>
          <w:rFonts w:ascii="Palatino Linotype" w:hAnsi="Palatino Linotype"/>
        </w:rPr>
        <w:t xml:space="preserve"> o que cuentan con los conocimientos para ello.</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En adición, resulta importante referir las Tesis Asiladas, una emitida por los Tribunales Colegiados </w:t>
      </w:r>
      <w:r w:rsidR="00EA34D2">
        <w:rPr>
          <w:rFonts w:ascii="Palatino Linotype" w:hAnsi="Palatino Linotype" w:cs="Arial"/>
        </w:rPr>
        <w:t xml:space="preserve">de Circuito y la segunda por la Primera Sala </w:t>
      </w:r>
      <w:r w:rsidRPr="00803578">
        <w:rPr>
          <w:rFonts w:ascii="Palatino Linotype" w:hAnsi="Palatino Linotype" w:cs="Arial"/>
        </w:rPr>
        <w:t>de la Suprema Corte de Justicia de la Nación, que establecen la imperiosa necesidad de la divulgación de datos concernientes a la privacidad de un individuo bajo el interés de la colectividad.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I.4o.A.40 A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lastRenderedPageBreak/>
        <w:t>CUARTO TRIBUNAL COLEGIADO EN MATERIA ADMINISTRATIVA DEL PRIMER CIRCUITO.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Amparo en revisión 257/2012. Ruth Corona Muñoz. 6 de diciembre de 2012. Unanimidad de votos. Ponente: Jean Claude </w:t>
      </w:r>
      <w:proofErr w:type="spellStart"/>
      <w:r w:rsidRPr="00803578">
        <w:rPr>
          <w:rFonts w:ascii="Palatino Linotype" w:hAnsi="Palatino Linotype" w:cs="Arial"/>
          <w:i/>
          <w:sz w:val="22"/>
        </w:rPr>
        <w:t>Tron</w:t>
      </w:r>
      <w:proofErr w:type="spellEnd"/>
      <w:r w:rsidRPr="00803578">
        <w:rPr>
          <w:rFonts w:ascii="Palatino Linotype" w:hAnsi="Palatino Linotype" w:cs="Arial"/>
          <w:i/>
          <w:sz w:val="22"/>
        </w:rPr>
        <w:t xml:space="preserve"> </w:t>
      </w:r>
      <w:proofErr w:type="spellStart"/>
      <w:r w:rsidRPr="00803578">
        <w:rPr>
          <w:rFonts w:ascii="Palatino Linotype" w:hAnsi="Palatino Linotype" w:cs="Arial"/>
          <w:i/>
          <w:sz w:val="22"/>
        </w:rPr>
        <w:t>Petit</w:t>
      </w:r>
      <w:proofErr w:type="spellEnd"/>
      <w:r w:rsidRPr="00803578">
        <w:rPr>
          <w:rFonts w:ascii="Palatino Linotype" w:hAnsi="Palatino Linotype" w:cs="Arial"/>
          <w:i/>
          <w:sz w:val="22"/>
        </w:rPr>
        <w:t>. Secretaria: Mayra Susana Martínez López.</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rsidR="001902DB" w:rsidRDefault="001902DB" w:rsidP="0085156C">
      <w:pPr>
        <w:ind w:left="709" w:right="757"/>
        <w:jc w:val="both"/>
        <w:rPr>
          <w:rFonts w:ascii="Palatino Linotype" w:hAnsi="Palatino Linotype" w:cs="Arial"/>
          <w:b/>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w:t>
      </w:r>
      <w:r w:rsidRPr="00803578">
        <w:rPr>
          <w:rFonts w:ascii="Palatino Linotype" w:hAnsi="Palatino Linotype" w:cs="Arial"/>
          <w:i/>
          <w:sz w:val="22"/>
        </w:rPr>
        <w:lastRenderedPageBreak/>
        <w:t>la Comisión Interamericana de Derechos Humanos, el cual señala que los discursos especialmente protegidos se refieren, entre otros, a los funcionarios públicos, así como a los candidatos a ocupar cargos públicos.</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rsidR="003F1DA8" w:rsidRPr="00803578" w:rsidRDefault="003F1DA8" w:rsidP="003F1DA8">
      <w:pPr>
        <w:spacing w:line="360" w:lineRule="auto"/>
        <w:ind w:left="709" w:right="757"/>
        <w:jc w:val="both"/>
        <w:rPr>
          <w:rFonts w:ascii="Palatino Linotype" w:hAnsi="Palatino Linotype" w:cs="Arial"/>
          <w:i/>
          <w:sz w:val="22"/>
        </w:rPr>
      </w:pPr>
    </w:p>
    <w:p w:rsidR="003F1DA8" w:rsidRPr="00803578" w:rsidRDefault="00157E8B" w:rsidP="003F1DA8">
      <w:pPr>
        <w:spacing w:line="360" w:lineRule="auto"/>
        <w:jc w:val="both"/>
        <w:rPr>
          <w:rFonts w:ascii="Palatino Linotype" w:hAnsi="Palatino Linotype" w:cs="Arial"/>
        </w:rPr>
      </w:pPr>
      <w:r>
        <w:rPr>
          <w:rFonts w:ascii="Palatino Linotype" w:hAnsi="Palatino Linotype" w:cs="Arial"/>
        </w:rPr>
        <w:t xml:space="preserve">Por ello, la </w:t>
      </w:r>
      <w:r w:rsidR="003F1DA8" w:rsidRPr="00803578">
        <w:rPr>
          <w:rFonts w:ascii="Palatino Linotype" w:hAnsi="Palatino Linotype" w:cs="Arial"/>
        </w:rPr>
        <w:t xml:space="preserve">que suscribe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Por último, </w:t>
      </w:r>
      <w:r w:rsidR="00006AA9">
        <w:rPr>
          <w:rFonts w:ascii="Palatino Linotype" w:hAnsi="Palatino Linotype" w:cs="Arial"/>
        </w:rPr>
        <w:t>n</w:t>
      </w:r>
      <w:r w:rsidRPr="00803578">
        <w:rPr>
          <w:rFonts w:ascii="Palatino Linotype" w:hAnsi="Palatino Linotype" w:cs="Arial"/>
        </w:rPr>
        <w:t xml:space="preserve">o </w:t>
      </w:r>
      <w:r w:rsidR="00006AA9">
        <w:rPr>
          <w:rFonts w:ascii="Palatino Linotype" w:hAnsi="Palatino Linotype" w:cs="Arial"/>
        </w:rPr>
        <w:t>se</w:t>
      </w:r>
      <w:r w:rsidRPr="00803578">
        <w:rPr>
          <w:rFonts w:ascii="Palatino Linotype" w:hAnsi="Palatino Linotype" w:cs="Arial"/>
        </w:rPr>
        <w:t xml:space="preserve"> omi</w:t>
      </w:r>
      <w:r w:rsidR="00006AA9">
        <w:rPr>
          <w:rFonts w:ascii="Palatino Linotype" w:hAnsi="Palatino Linotype" w:cs="Arial"/>
        </w:rPr>
        <w:t>te</w:t>
      </w:r>
      <w:r w:rsidRPr="00803578">
        <w:rPr>
          <w:rFonts w:ascii="Palatino Linotype" w:hAnsi="Palatino Linotype" w:cs="Arial"/>
        </w:rPr>
        <w:t xml:space="preserve"> señalar que la publicidad de la fotografía de</w:t>
      </w:r>
      <w:r w:rsidR="00ED33FA">
        <w:rPr>
          <w:rFonts w:ascii="Palatino Linotype" w:hAnsi="Palatino Linotype" w:cs="Arial"/>
        </w:rPr>
        <w:t xml:space="preserve"> l</w:t>
      </w:r>
      <w:r w:rsidR="00157E8B">
        <w:rPr>
          <w:rFonts w:ascii="Palatino Linotype" w:hAnsi="Palatino Linotype" w:cs="Arial"/>
        </w:rPr>
        <w:t xml:space="preserve">a servidora pública </w:t>
      </w:r>
      <w:r w:rsidRPr="00803578">
        <w:rPr>
          <w:rFonts w:ascii="Palatino Linotype" w:hAnsi="Palatino Linotype" w:cs="Arial"/>
        </w:rPr>
        <w:t>permitiría otorgar certeza jurídica al ahora</w:t>
      </w:r>
      <w:r w:rsidRPr="00803578">
        <w:rPr>
          <w:rFonts w:ascii="Palatino Linotype" w:hAnsi="Palatino Linotype" w:cs="Arial"/>
          <w:b/>
        </w:rPr>
        <w:t xml:space="preserve"> RECURRENTE</w:t>
      </w:r>
      <w:r w:rsidRPr="00803578">
        <w:rPr>
          <w:rFonts w:ascii="Palatino Linotype" w:hAnsi="Palatino Linotype" w:cs="Arial"/>
        </w:rPr>
        <w:t xml:space="preserve"> de </w:t>
      </w:r>
      <w:r w:rsidR="00C63F91" w:rsidRPr="00803578">
        <w:rPr>
          <w:rFonts w:ascii="Palatino Linotype" w:hAnsi="Palatino Linotype" w:cs="Arial"/>
        </w:rPr>
        <w:t>qui</w:t>
      </w:r>
      <w:r w:rsidR="00C63F91">
        <w:rPr>
          <w:rFonts w:ascii="Palatino Linotype" w:hAnsi="Palatino Linotype" w:cs="Arial"/>
        </w:rPr>
        <w:t>é</w:t>
      </w:r>
      <w:r w:rsidR="00C63F91" w:rsidRPr="00803578">
        <w:rPr>
          <w:rFonts w:ascii="Palatino Linotype" w:hAnsi="Palatino Linotype" w:cs="Arial"/>
        </w:rPr>
        <w:t>n</w:t>
      </w:r>
      <w:r w:rsidRPr="00803578">
        <w:rPr>
          <w:rFonts w:ascii="Palatino Linotype" w:hAnsi="Palatino Linotype" w:cs="Arial"/>
        </w:rPr>
        <w:t xml:space="preserve"> se desempeña en el cargo público, atendiendo al principio consagrado en el artículo 9</w:t>
      </w:r>
      <w:r w:rsidR="005977BF">
        <w:rPr>
          <w:rFonts w:ascii="Palatino Linotype" w:hAnsi="Palatino Linotype" w:cs="Arial"/>
        </w:rPr>
        <w:t>°</w:t>
      </w:r>
      <w:r w:rsidRPr="00803578">
        <w:rPr>
          <w:rFonts w:ascii="Palatino Linotype" w:hAnsi="Palatino Linotype" w:cs="Arial"/>
        </w:rPr>
        <w:t>, fracción I de la Ley de la materia.</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Por lo cual, </w:t>
      </w:r>
      <w:r w:rsidR="00157E8B">
        <w:rPr>
          <w:rFonts w:ascii="Palatino Linotype" w:hAnsi="Palatino Linotype" w:cs="Arial"/>
        </w:rPr>
        <w:t>la</w:t>
      </w:r>
      <w:r>
        <w:rPr>
          <w:rFonts w:ascii="Palatino Linotype" w:hAnsi="Palatino Linotype" w:cs="Arial"/>
        </w:rPr>
        <w:t xml:space="preserve"> suscrit</w:t>
      </w:r>
      <w:r w:rsidR="00157E8B">
        <w:rPr>
          <w:rFonts w:ascii="Palatino Linotype" w:hAnsi="Palatino Linotype" w:cs="Arial"/>
        </w:rPr>
        <w:t>a</w:t>
      </w:r>
      <w:r>
        <w:rPr>
          <w:rFonts w:ascii="Palatino Linotype" w:hAnsi="Palatino Linotype" w:cs="Arial"/>
        </w:rPr>
        <w:t xml:space="preserve"> emit</w:t>
      </w:r>
      <w:r w:rsidR="00157E8B">
        <w:rPr>
          <w:rFonts w:ascii="Palatino Linotype" w:hAnsi="Palatino Linotype" w:cs="Arial"/>
        </w:rPr>
        <w:t>e</w:t>
      </w:r>
      <w:r>
        <w:rPr>
          <w:rFonts w:ascii="Palatino Linotype" w:hAnsi="Palatino Linotype" w:cs="Arial"/>
        </w:rPr>
        <w:t xml:space="preserve"> </w:t>
      </w:r>
      <w:r w:rsidRPr="006073E1">
        <w:rPr>
          <w:rFonts w:ascii="Palatino Linotype" w:hAnsi="Palatino Linotype" w:cs="Arial"/>
          <w:b/>
        </w:rPr>
        <w:t>VOTO PARTICULAR</w:t>
      </w:r>
      <w:r w:rsidR="00ED33FA">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ya que se insiste que no es procedente </w:t>
      </w:r>
      <w:r w:rsidRPr="00383A93">
        <w:rPr>
          <w:rFonts w:ascii="Palatino Linotype" w:hAnsi="Palatino Linotype" w:cs="Arial"/>
        </w:rPr>
        <w:t xml:space="preserve">la clasificación </w:t>
      </w:r>
      <w:r w:rsidR="0085156C">
        <w:rPr>
          <w:rFonts w:ascii="Palatino Linotype" w:hAnsi="Palatino Linotype" w:cs="Arial"/>
        </w:rPr>
        <w:t xml:space="preserve">de </w:t>
      </w:r>
      <w:r w:rsidRPr="00803578">
        <w:rPr>
          <w:rFonts w:ascii="Palatino Linotype" w:hAnsi="Palatino Linotype" w:cs="Arial"/>
        </w:rPr>
        <w:t>l</w:t>
      </w:r>
      <w:r w:rsidR="0085156C">
        <w:rPr>
          <w:rFonts w:ascii="Palatino Linotype" w:hAnsi="Palatino Linotype" w:cs="Arial"/>
        </w:rPr>
        <w:t>a fotografía de</w:t>
      </w:r>
      <w:r w:rsidR="00ED33FA">
        <w:rPr>
          <w:rFonts w:ascii="Palatino Linotype" w:hAnsi="Palatino Linotype" w:cs="Arial"/>
        </w:rPr>
        <w:t xml:space="preserve"> l</w:t>
      </w:r>
      <w:r w:rsidR="00157E8B">
        <w:rPr>
          <w:rFonts w:ascii="Palatino Linotype" w:hAnsi="Palatino Linotype" w:cs="Arial"/>
        </w:rPr>
        <w:t>a</w:t>
      </w:r>
      <w:r w:rsidR="00ED33FA">
        <w:rPr>
          <w:rFonts w:ascii="Palatino Linotype" w:hAnsi="Palatino Linotype" w:cs="Arial"/>
        </w:rPr>
        <w:t xml:space="preserve"> servidor</w:t>
      </w:r>
      <w:r w:rsidR="00157E8B">
        <w:rPr>
          <w:rFonts w:ascii="Palatino Linotype" w:hAnsi="Palatino Linotype" w:cs="Arial"/>
        </w:rPr>
        <w:t>a</w:t>
      </w:r>
      <w:r w:rsidR="00ED33FA">
        <w:rPr>
          <w:rFonts w:ascii="Palatino Linotype" w:hAnsi="Palatino Linotype" w:cs="Arial"/>
        </w:rPr>
        <w:t xml:space="preserve"> públic</w:t>
      </w:r>
      <w:r w:rsidR="00157E8B">
        <w:rPr>
          <w:rFonts w:ascii="Palatino Linotype" w:hAnsi="Palatino Linotype" w:cs="Arial"/>
        </w:rPr>
        <w:t>a</w:t>
      </w:r>
      <w:r w:rsidR="00006AA9">
        <w:rPr>
          <w:rFonts w:ascii="Palatino Linotype" w:hAnsi="Palatino Linotype" w:cs="Arial"/>
        </w:rPr>
        <w:t xml:space="preserve"> de la que se requirió la información</w:t>
      </w:r>
      <w:r w:rsidR="00ED33FA">
        <w:rPr>
          <w:rFonts w:ascii="Palatino Linotype" w:hAnsi="Palatino Linotype" w:cs="Arial"/>
        </w:rPr>
        <w:t>, p</w:t>
      </w:r>
      <w:r w:rsidRPr="00803578">
        <w:rPr>
          <w:rFonts w:ascii="Palatino Linotype" w:hAnsi="Palatino Linotype" w:cs="Arial"/>
        </w:rPr>
        <w:t>ues de acuerdo a la naturaleza de la información solicitada se concluye que es de interés general y de alcance público, puesto que ostenta</w:t>
      </w:r>
      <w:r w:rsidR="00157E8B">
        <w:rPr>
          <w:rFonts w:ascii="Palatino Linotype" w:hAnsi="Palatino Linotype" w:cs="Arial"/>
        </w:rPr>
        <w:t xml:space="preserve"> un </w:t>
      </w:r>
      <w:r w:rsidR="00ED33FA">
        <w:rPr>
          <w:rFonts w:ascii="Palatino Linotype" w:hAnsi="Palatino Linotype" w:cs="Arial"/>
        </w:rPr>
        <w:t>cargo</w:t>
      </w:r>
      <w:r w:rsidRPr="00803578">
        <w:rPr>
          <w:rFonts w:ascii="Palatino Linotype" w:hAnsi="Palatino Linotype" w:cs="Arial"/>
        </w:rPr>
        <w:t xml:space="preserve"> en </w:t>
      </w:r>
      <w:r w:rsidR="00157E8B">
        <w:rPr>
          <w:rFonts w:ascii="Palatino Linotype" w:hAnsi="Palatino Linotype" w:cs="Arial"/>
        </w:rPr>
        <w:t>el</w:t>
      </w:r>
      <w:r w:rsidRPr="00803578">
        <w:rPr>
          <w:rFonts w:ascii="Palatino Linotype" w:hAnsi="Palatino Linotype" w:cs="Arial"/>
        </w:rPr>
        <w:t xml:space="preserve"> que impera la necesidad de la publicidad de la imagen de la misma, aunado a que la ciudadanía tiene derecho a saber quiénes son las personas que ejercen actos de autoridad a través del servicio público; </w:t>
      </w:r>
      <w:r w:rsidRPr="00803578">
        <w:rPr>
          <w:rFonts w:ascii="Palatino Linotype" w:hAnsi="Palatino Linotype" w:cs="Arial"/>
        </w:rPr>
        <w:lastRenderedPageBreak/>
        <w:t>asimismo, permite vincular el actuar y la rendición de cuentas; ello, derivado del deber de los Sujetos Obligados a transparentar sus acciones así como garantizar y respetar el derecho de acceso a la información pública en concordancia con lo que estipula el artículo 143 de Constitución Política del Es</w:t>
      </w:r>
      <w:r w:rsidR="00157E8B">
        <w:rPr>
          <w:rFonts w:ascii="Palatino Linotype" w:hAnsi="Palatino Linotype" w:cs="Arial"/>
        </w:rPr>
        <w:t xml:space="preserve">tado Libre y Soberano de México, por tanto se debió </w:t>
      </w:r>
      <w:r w:rsidR="00157E8B" w:rsidRPr="00157E8B">
        <w:rPr>
          <w:rFonts w:ascii="Palatino Linotype" w:hAnsi="Palatino Linotype" w:cs="Arial"/>
          <w:b/>
        </w:rPr>
        <w:t>MODIFICAR</w:t>
      </w:r>
      <w:r w:rsidR="00157E8B">
        <w:rPr>
          <w:rFonts w:ascii="Palatino Linotype" w:hAnsi="Palatino Linotype" w:cs="Arial"/>
        </w:rPr>
        <w:t xml:space="preserve"> la respuesta y ordenar el documento donde se </w:t>
      </w:r>
      <w:r w:rsidR="00006AA9">
        <w:rPr>
          <w:rFonts w:ascii="Palatino Linotype" w:hAnsi="Palatino Linotype" w:cs="Arial"/>
        </w:rPr>
        <w:t xml:space="preserve">dejara visible la </w:t>
      </w:r>
      <w:r w:rsidR="00157E8B">
        <w:rPr>
          <w:rFonts w:ascii="Palatino Linotype" w:hAnsi="Palatino Linotype" w:cs="Arial"/>
        </w:rPr>
        <w:t>misma.</w:t>
      </w:r>
    </w:p>
    <w:tbl>
      <w:tblPr>
        <w:tblStyle w:val="Tablaconcuadrcula"/>
        <w:tblW w:w="0" w:type="auto"/>
        <w:tblLook w:val="04A0" w:firstRow="1" w:lastRow="0" w:firstColumn="1" w:lastColumn="0" w:noHBand="0" w:noVBand="1"/>
      </w:tblPr>
      <w:tblGrid>
        <w:gridCol w:w="9204"/>
      </w:tblGrid>
      <w:tr w:rsidR="001902DB" w:rsidRPr="00F34645" w:rsidTr="00516DEA">
        <w:tc>
          <w:tcPr>
            <w:tcW w:w="9204" w:type="dxa"/>
            <w:tcBorders>
              <w:top w:val="nil"/>
              <w:left w:val="nil"/>
              <w:bottom w:val="nil"/>
              <w:right w:val="nil"/>
            </w:tcBorders>
          </w:tcPr>
          <w:p w:rsidR="001902DB" w:rsidRPr="00F34645" w:rsidRDefault="001902DB" w:rsidP="00516DEA">
            <w:pPr>
              <w:autoSpaceDE w:val="0"/>
              <w:autoSpaceDN w:val="0"/>
              <w:adjustRightInd w:val="0"/>
              <w:jc w:val="center"/>
              <w:rPr>
                <w:rFonts w:ascii="Palatino Linotype" w:hAnsi="Palatino Linotype" w:cs="Arial"/>
                <w:b/>
              </w:rPr>
            </w:pPr>
          </w:p>
          <w:p w:rsidR="001902DB" w:rsidRDefault="001902DB"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AE68F8" w:rsidRDefault="00AE68F8" w:rsidP="00516DEA">
            <w:pPr>
              <w:autoSpaceDE w:val="0"/>
              <w:autoSpaceDN w:val="0"/>
              <w:adjustRightInd w:val="0"/>
              <w:jc w:val="center"/>
              <w:rPr>
                <w:rFonts w:ascii="Palatino Linotype" w:hAnsi="Palatino Linotype" w:cs="Arial"/>
                <w:b/>
              </w:rPr>
            </w:pPr>
          </w:p>
          <w:p w:rsidR="001902DB" w:rsidRDefault="001902DB" w:rsidP="00516DEA">
            <w:pPr>
              <w:autoSpaceDE w:val="0"/>
              <w:autoSpaceDN w:val="0"/>
              <w:adjustRightInd w:val="0"/>
              <w:jc w:val="center"/>
              <w:rPr>
                <w:rFonts w:ascii="Palatino Linotype" w:hAnsi="Palatino Linotype" w:cs="Arial"/>
                <w:b/>
              </w:rPr>
            </w:pPr>
          </w:p>
          <w:p w:rsidR="001902DB" w:rsidRPr="00F34645" w:rsidRDefault="00157E8B" w:rsidP="00516DEA">
            <w:pPr>
              <w:autoSpaceDE w:val="0"/>
              <w:autoSpaceDN w:val="0"/>
              <w:adjustRightInd w:val="0"/>
              <w:ind w:right="49"/>
              <w:jc w:val="center"/>
              <w:rPr>
                <w:rFonts w:ascii="Palatino Linotype" w:hAnsi="Palatino Linotype" w:cs="Arial"/>
                <w:b/>
              </w:rPr>
            </w:pPr>
            <w:r>
              <w:rPr>
                <w:rFonts w:ascii="Palatino Linotype" w:hAnsi="Palatino Linotype" w:cs="Arial"/>
                <w:b/>
              </w:rPr>
              <w:t>E</w:t>
            </w:r>
            <w:r w:rsidRPr="00F34645">
              <w:rPr>
                <w:rFonts w:ascii="Palatino Linotype" w:hAnsi="Palatino Linotype" w:cs="Arial"/>
                <w:b/>
              </w:rPr>
              <w:t>VA ABAID YAPUR</w:t>
            </w:r>
          </w:p>
        </w:tc>
      </w:tr>
      <w:tr w:rsidR="001902DB" w:rsidRPr="00F34645" w:rsidTr="00516DEA">
        <w:tc>
          <w:tcPr>
            <w:tcW w:w="9204" w:type="dxa"/>
            <w:tcBorders>
              <w:top w:val="nil"/>
              <w:left w:val="nil"/>
              <w:bottom w:val="nil"/>
              <w:right w:val="nil"/>
            </w:tcBorders>
          </w:tcPr>
          <w:p w:rsidR="001902DB" w:rsidRDefault="001902DB" w:rsidP="00157E8B">
            <w:pPr>
              <w:autoSpaceDE w:val="0"/>
              <w:autoSpaceDN w:val="0"/>
              <w:adjustRightInd w:val="0"/>
              <w:ind w:right="49"/>
              <w:jc w:val="center"/>
              <w:rPr>
                <w:rFonts w:ascii="Palatino Linotype" w:hAnsi="Palatino Linotype" w:cs="Arial"/>
                <w:b/>
              </w:rPr>
            </w:pPr>
            <w:r w:rsidRPr="00F34645">
              <w:rPr>
                <w:rFonts w:ascii="Palatino Linotype" w:hAnsi="Palatino Linotype" w:cs="Arial"/>
                <w:b/>
              </w:rPr>
              <w:t>COMISIONAD</w:t>
            </w:r>
            <w:r w:rsidR="00157E8B">
              <w:rPr>
                <w:rFonts w:ascii="Palatino Linotype" w:hAnsi="Palatino Linotype" w:cs="Arial"/>
                <w:b/>
              </w:rPr>
              <w:t>A</w:t>
            </w:r>
          </w:p>
          <w:p w:rsidR="00A73C94" w:rsidRPr="00F34645" w:rsidRDefault="00A73C94" w:rsidP="00157E8B">
            <w:pPr>
              <w:autoSpaceDE w:val="0"/>
              <w:autoSpaceDN w:val="0"/>
              <w:adjustRightInd w:val="0"/>
              <w:ind w:right="49"/>
              <w:jc w:val="center"/>
              <w:rPr>
                <w:rFonts w:ascii="Palatino Linotype" w:hAnsi="Palatino Linotype" w:cs="Arial"/>
                <w:b/>
              </w:rPr>
            </w:pPr>
            <w:r>
              <w:rPr>
                <w:rFonts w:ascii="Palatino Linotype" w:hAnsi="Palatino Linotype"/>
                <w:b/>
              </w:rPr>
              <w:t>(RÚBRICA)</w:t>
            </w:r>
          </w:p>
        </w:tc>
      </w:tr>
    </w:tbl>
    <w:p w:rsidR="00ED33FA" w:rsidRDefault="00ED33FA" w:rsidP="003F1DA8">
      <w:pPr>
        <w:jc w:val="both"/>
        <w:rPr>
          <w:rFonts w:ascii="Palatino Linotype" w:eastAsia="Calibri" w:hAnsi="Palatino Linotype" w:cs="Arial"/>
          <w:color w:val="000000" w:themeColor="text1"/>
          <w:sz w:val="22"/>
        </w:rPr>
      </w:pPr>
      <w:bookmarkStart w:id="0" w:name="_GoBack"/>
      <w:bookmarkEnd w:id="0"/>
    </w:p>
    <w:p w:rsidR="00157E8B" w:rsidRDefault="00157E8B" w:rsidP="003F1DA8">
      <w:pPr>
        <w:jc w:val="both"/>
        <w:rPr>
          <w:rFonts w:ascii="Palatino Linotype" w:eastAsia="Calibri" w:hAnsi="Palatino Linotype" w:cs="Arial"/>
          <w:color w:val="000000" w:themeColor="text1"/>
          <w:sz w:val="22"/>
        </w:rPr>
      </w:pPr>
    </w:p>
    <w:p w:rsidR="00157E8B" w:rsidRDefault="00157E8B" w:rsidP="003F1DA8">
      <w:pPr>
        <w:jc w:val="both"/>
        <w:rPr>
          <w:rFonts w:ascii="Palatino Linotype" w:eastAsia="Calibri" w:hAnsi="Palatino Linotype" w:cs="Arial"/>
          <w:color w:val="000000" w:themeColor="text1"/>
          <w:sz w:val="22"/>
        </w:rPr>
      </w:pPr>
    </w:p>
    <w:p w:rsidR="00157E8B" w:rsidRDefault="00157E8B" w:rsidP="003F1DA8">
      <w:pPr>
        <w:jc w:val="both"/>
        <w:rPr>
          <w:rFonts w:ascii="Palatino Linotype" w:eastAsia="Calibri" w:hAnsi="Palatino Linotype" w:cs="Arial"/>
          <w:color w:val="000000" w:themeColor="text1"/>
          <w:sz w:val="22"/>
        </w:rPr>
      </w:pPr>
    </w:p>
    <w:p w:rsidR="00157E8B" w:rsidRDefault="00157E8B" w:rsidP="003F1DA8">
      <w:pPr>
        <w:jc w:val="both"/>
        <w:rPr>
          <w:rFonts w:ascii="Palatino Linotype" w:eastAsia="Calibri" w:hAnsi="Palatino Linotype" w:cs="Arial"/>
          <w:color w:val="000000" w:themeColor="text1"/>
          <w:sz w:val="22"/>
        </w:rPr>
      </w:pPr>
    </w:p>
    <w:p w:rsidR="00157E8B" w:rsidRDefault="00157E8B" w:rsidP="003F1DA8">
      <w:pPr>
        <w:jc w:val="both"/>
        <w:rPr>
          <w:rFonts w:ascii="Palatino Linotype" w:eastAsia="Calibri" w:hAnsi="Palatino Linotype" w:cs="Arial"/>
          <w:color w:val="000000" w:themeColor="text1"/>
          <w:sz w:val="22"/>
        </w:rPr>
      </w:pPr>
    </w:p>
    <w:p w:rsidR="0085156C" w:rsidRPr="00AE68F8" w:rsidRDefault="003F1DA8" w:rsidP="003F1DA8">
      <w:pPr>
        <w:jc w:val="both"/>
        <w:rPr>
          <w:rFonts w:ascii="Palatino Linotype" w:eastAsia="Calibri" w:hAnsi="Palatino Linotype" w:cs="Arial"/>
          <w:color w:val="000000" w:themeColor="text1"/>
          <w:sz w:val="20"/>
          <w:szCs w:val="20"/>
        </w:rPr>
      </w:pPr>
      <w:r w:rsidRPr="00AE68F8">
        <w:rPr>
          <w:rFonts w:ascii="Palatino Linotype" w:eastAsia="Calibri" w:hAnsi="Palatino Linotype" w:cs="Arial"/>
          <w:color w:val="000000" w:themeColor="text1"/>
          <w:sz w:val="20"/>
          <w:szCs w:val="20"/>
        </w:rPr>
        <w:t>Esta hoja corresponde al</w:t>
      </w:r>
      <w:r w:rsidR="0085156C" w:rsidRPr="00AE68F8">
        <w:rPr>
          <w:rFonts w:ascii="Palatino Linotype" w:eastAsia="Calibri" w:hAnsi="Palatino Linotype" w:cs="Arial"/>
          <w:color w:val="000000" w:themeColor="text1"/>
          <w:sz w:val="20"/>
          <w:szCs w:val="20"/>
        </w:rPr>
        <w:t xml:space="preserve"> voto</w:t>
      </w:r>
      <w:r w:rsidRPr="00AE68F8">
        <w:rPr>
          <w:rFonts w:ascii="Palatino Linotype" w:eastAsia="Calibri" w:hAnsi="Palatino Linotype" w:cs="Arial"/>
          <w:color w:val="000000" w:themeColor="text1"/>
          <w:sz w:val="20"/>
          <w:szCs w:val="20"/>
        </w:rPr>
        <w:t xml:space="preserve"> particular</w:t>
      </w:r>
      <w:r w:rsidR="00ED33FA" w:rsidRPr="00AE68F8">
        <w:rPr>
          <w:rFonts w:ascii="Palatino Linotype" w:eastAsia="Calibri" w:hAnsi="Palatino Linotype" w:cs="Arial"/>
          <w:color w:val="000000" w:themeColor="text1"/>
          <w:sz w:val="20"/>
          <w:szCs w:val="20"/>
        </w:rPr>
        <w:t xml:space="preserve"> </w:t>
      </w:r>
      <w:r w:rsidRPr="00AE68F8">
        <w:rPr>
          <w:rFonts w:ascii="Palatino Linotype" w:eastAsia="Calibri" w:hAnsi="Palatino Linotype" w:cs="Arial"/>
          <w:color w:val="000000" w:themeColor="text1"/>
          <w:sz w:val="20"/>
          <w:szCs w:val="20"/>
        </w:rPr>
        <w:t>emitid</w:t>
      </w:r>
      <w:r w:rsidR="0085156C" w:rsidRPr="00AE68F8">
        <w:rPr>
          <w:rFonts w:ascii="Palatino Linotype" w:eastAsia="Calibri" w:hAnsi="Palatino Linotype" w:cs="Arial"/>
          <w:color w:val="000000" w:themeColor="text1"/>
          <w:sz w:val="20"/>
          <w:szCs w:val="20"/>
        </w:rPr>
        <w:t>o</w:t>
      </w:r>
      <w:r w:rsidRPr="00AE68F8">
        <w:rPr>
          <w:rFonts w:ascii="Palatino Linotype" w:eastAsia="Calibri" w:hAnsi="Palatino Linotype" w:cs="Arial"/>
          <w:color w:val="000000" w:themeColor="text1"/>
          <w:sz w:val="20"/>
          <w:szCs w:val="20"/>
        </w:rPr>
        <w:t xml:space="preserve"> en la resolución </w:t>
      </w:r>
      <w:r w:rsidR="00AE68F8" w:rsidRPr="00AE68F8">
        <w:rPr>
          <w:rFonts w:ascii="Palatino Linotype" w:eastAsia="Calibri" w:hAnsi="Palatino Linotype" w:cs="Arial"/>
          <w:color w:val="000000" w:themeColor="text1"/>
          <w:sz w:val="20"/>
          <w:szCs w:val="20"/>
        </w:rPr>
        <w:t>del</w:t>
      </w:r>
      <w:r w:rsidRPr="00AE68F8">
        <w:rPr>
          <w:rFonts w:ascii="Palatino Linotype" w:eastAsia="Calibri" w:hAnsi="Palatino Linotype" w:cs="Arial"/>
          <w:color w:val="000000" w:themeColor="text1"/>
          <w:sz w:val="20"/>
          <w:szCs w:val="20"/>
        </w:rPr>
        <w:t xml:space="preserve"> recurso de revisión </w:t>
      </w:r>
      <w:r w:rsidR="0085156C" w:rsidRPr="00AE68F8">
        <w:rPr>
          <w:rFonts w:ascii="Palatino Linotype" w:eastAsia="Calibri" w:hAnsi="Palatino Linotype" w:cs="Arial"/>
          <w:color w:val="000000" w:themeColor="text1"/>
          <w:sz w:val="20"/>
          <w:szCs w:val="20"/>
        </w:rPr>
        <w:t>03</w:t>
      </w:r>
      <w:r w:rsidR="00157E8B" w:rsidRPr="00AE68F8">
        <w:rPr>
          <w:rFonts w:ascii="Palatino Linotype" w:eastAsia="Calibri" w:hAnsi="Palatino Linotype" w:cs="Arial"/>
          <w:color w:val="000000" w:themeColor="text1"/>
          <w:sz w:val="20"/>
          <w:szCs w:val="20"/>
        </w:rPr>
        <w:t>519</w:t>
      </w:r>
      <w:r w:rsidRPr="00AE68F8">
        <w:rPr>
          <w:rFonts w:ascii="Palatino Linotype" w:eastAsia="Calibri" w:hAnsi="Palatino Linotype" w:cs="Arial"/>
          <w:color w:val="000000" w:themeColor="text1"/>
          <w:sz w:val="20"/>
          <w:szCs w:val="20"/>
        </w:rPr>
        <w:t xml:space="preserve">/INFOEM/IP/RR/2018, aprobada el </w:t>
      </w:r>
      <w:r w:rsidR="00157E8B" w:rsidRPr="00AE68F8">
        <w:rPr>
          <w:rFonts w:ascii="Palatino Linotype" w:eastAsia="Calibri" w:hAnsi="Palatino Linotype" w:cs="Arial"/>
          <w:color w:val="000000" w:themeColor="text1"/>
          <w:sz w:val="20"/>
          <w:szCs w:val="20"/>
        </w:rPr>
        <w:t>veintiocho</w:t>
      </w:r>
      <w:r w:rsidR="0085156C" w:rsidRPr="00AE68F8">
        <w:rPr>
          <w:rFonts w:ascii="Palatino Linotype" w:eastAsia="Calibri" w:hAnsi="Palatino Linotype" w:cs="Arial"/>
          <w:color w:val="000000" w:themeColor="text1"/>
          <w:sz w:val="20"/>
          <w:szCs w:val="20"/>
        </w:rPr>
        <w:t xml:space="preserve"> de noviembre</w:t>
      </w:r>
      <w:r w:rsidRPr="00AE68F8">
        <w:rPr>
          <w:rFonts w:ascii="Palatino Linotype" w:eastAsia="Calibri" w:hAnsi="Palatino Linotype" w:cs="Arial"/>
          <w:color w:val="000000" w:themeColor="text1"/>
          <w:sz w:val="20"/>
          <w:szCs w:val="20"/>
        </w:rPr>
        <w:t xml:space="preserve"> de dos mil dieciocho. </w:t>
      </w:r>
    </w:p>
    <w:p w:rsidR="00AE68F8" w:rsidRPr="00AE68F8" w:rsidRDefault="00AE68F8" w:rsidP="003F1DA8">
      <w:pPr>
        <w:jc w:val="both"/>
        <w:rPr>
          <w:rFonts w:ascii="Palatino Linotype" w:eastAsia="Calibri" w:hAnsi="Palatino Linotype" w:cs="Arial"/>
          <w:color w:val="000000" w:themeColor="text1"/>
          <w:sz w:val="8"/>
          <w:szCs w:val="8"/>
        </w:rPr>
      </w:pPr>
    </w:p>
    <w:p w:rsidR="003F1DA8" w:rsidRPr="00AE68F8" w:rsidRDefault="003F1DA8" w:rsidP="0085156C">
      <w:pPr>
        <w:jc w:val="both"/>
        <w:rPr>
          <w:rFonts w:ascii="Palatino Linotype" w:hAnsi="Palatino Linotype" w:cs="Arial"/>
          <w:sz w:val="20"/>
          <w:szCs w:val="20"/>
        </w:rPr>
      </w:pPr>
      <w:r w:rsidRPr="00AE68F8">
        <w:rPr>
          <w:rFonts w:ascii="Palatino Linotype" w:eastAsia="Calibri" w:hAnsi="Palatino Linotype" w:cs="Arial"/>
          <w:color w:val="000000" w:themeColor="text1"/>
          <w:sz w:val="20"/>
          <w:szCs w:val="20"/>
        </w:rPr>
        <w:t>YSM/ATU</w:t>
      </w:r>
    </w:p>
    <w:sectPr w:rsidR="003F1DA8" w:rsidRPr="00AE68F8"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23" w:rsidRDefault="005B0823" w:rsidP="00202921">
      <w:r>
        <w:separator/>
      </w:r>
    </w:p>
  </w:endnote>
  <w:endnote w:type="continuationSeparator" w:id="0">
    <w:p w:rsidR="005B0823" w:rsidRDefault="005B0823"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73C94"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A73C94" w:rsidP="00DC5C4E">
    <w:pPr>
      <w:pStyle w:val="Piedepgina"/>
      <w:tabs>
        <w:tab w:val="clear" w:pos="4252"/>
        <w:tab w:val="left" w:pos="4228"/>
      </w:tabs>
      <w:rPr>
        <w:rFonts w:ascii="Palatino Linotype" w:hAnsi="Palatino Linotype" w:cs="Arial"/>
        <w:b/>
        <w:bCs/>
        <w:sz w:val="20"/>
        <w:szCs w:val="20"/>
      </w:rPr>
    </w:pPr>
  </w:p>
  <w:p w:rsidR="005C7C8F" w:rsidRDefault="00A73C94"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73C94">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73C94">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A73C94" w:rsidP="00DC5C4E">
    <w:pPr>
      <w:pStyle w:val="Piedepgina"/>
      <w:ind w:firstLine="708"/>
    </w:pPr>
  </w:p>
  <w:p w:rsidR="002E136D" w:rsidRDefault="002E1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23" w:rsidRDefault="005B0823" w:rsidP="00202921">
      <w:r>
        <w:separator/>
      </w:r>
    </w:p>
  </w:footnote>
  <w:footnote w:type="continuationSeparator" w:id="0">
    <w:p w:rsidR="005B0823" w:rsidRDefault="005B0823"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73C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2E136D" w:rsidRDefault="002E1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sidR="002F0051">
      <w:rPr>
        <w:rFonts w:ascii="Palatino Linotype" w:hAnsi="Palatino Linotype" w:cs="Arial"/>
        <w:sz w:val="20"/>
        <w:szCs w:val="20"/>
      </w:rPr>
      <w:t>3</w:t>
    </w:r>
    <w:r w:rsidR="005C0FC0">
      <w:rPr>
        <w:rFonts w:ascii="Palatino Linotype" w:hAnsi="Palatino Linotype" w:cs="Arial"/>
        <w:sz w:val="20"/>
        <w:szCs w:val="20"/>
      </w:rPr>
      <w:t>519</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A73C94" w:rsidP="00DC5C4E">
    <w:pPr>
      <w:pStyle w:val="Encabezado"/>
      <w:tabs>
        <w:tab w:val="clear" w:pos="4252"/>
        <w:tab w:val="clear" w:pos="8504"/>
        <w:tab w:val="left" w:pos="2326"/>
      </w:tabs>
      <w:jc w:val="right"/>
      <w:rPr>
        <w:rFonts w:ascii="Palatino Linotype" w:hAnsi="Palatino Linotype" w:cs="Arial"/>
        <w:sz w:val="20"/>
        <w:szCs w:val="20"/>
      </w:rPr>
    </w:pPr>
  </w:p>
  <w:p w:rsidR="002E136D" w:rsidRDefault="00A73C94">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3.1pt;height:76.1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73C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2">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9">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7"/>
  </w:num>
  <w:num w:numId="5">
    <w:abstractNumId w:val="5"/>
  </w:num>
  <w:num w:numId="6">
    <w:abstractNumId w:val="2"/>
  </w:num>
  <w:num w:numId="7">
    <w:abstractNumId w:val="6"/>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06AA9"/>
    <w:rsid w:val="0003135C"/>
    <w:rsid w:val="000903B0"/>
    <w:rsid w:val="0009048A"/>
    <w:rsid w:val="000C7201"/>
    <w:rsid w:val="000D02DB"/>
    <w:rsid w:val="000F0BC5"/>
    <w:rsid w:val="001236B8"/>
    <w:rsid w:val="00157E8B"/>
    <w:rsid w:val="00173159"/>
    <w:rsid w:val="00177727"/>
    <w:rsid w:val="001902DB"/>
    <w:rsid w:val="00195CD1"/>
    <w:rsid w:val="001E0C0E"/>
    <w:rsid w:val="00202921"/>
    <w:rsid w:val="00213408"/>
    <w:rsid w:val="00222326"/>
    <w:rsid w:val="00223BBB"/>
    <w:rsid w:val="00227DE1"/>
    <w:rsid w:val="002C1CC6"/>
    <w:rsid w:val="002C2A68"/>
    <w:rsid w:val="002E136D"/>
    <w:rsid w:val="002F0051"/>
    <w:rsid w:val="002F3DCF"/>
    <w:rsid w:val="003015A2"/>
    <w:rsid w:val="00364F1A"/>
    <w:rsid w:val="003837CB"/>
    <w:rsid w:val="00383A93"/>
    <w:rsid w:val="003847DA"/>
    <w:rsid w:val="00385565"/>
    <w:rsid w:val="003878EC"/>
    <w:rsid w:val="003C6361"/>
    <w:rsid w:val="003F1DA8"/>
    <w:rsid w:val="00400547"/>
    <w:rsid w:val="00451878"/>
    <w:rsid w:val="0046500C"/>
    <w:rsid w:val="00467713"/>
    <w:rsid w:val="004A404F"/>
    <w:rsid w:val="004E606A"/>
    <w:rsid w:val="00563561"/>
    <w:rsid w:val="005977BF"/>
    <w:rsid w:val="005B0823"/>
    <w:rsid w:val="005B45C9"/>
    <w:rsid w:val="005C0FC0"/>
    <w:rsid w:val="00613B67"/>
    <w:rsid w:val="00615728"/>
    <w:rsid w:val="006468C8"/>
    <w:rsid w:val="00650F98"/>
    <w:rsid w:val="00680615"/>
    <w:rsid w:val="006937C9"/>
    <w:rsid w:val="006E6142"/>
    <w:rsid w:val="00717A14"/>
    <w:rsid w:val="007739F4"/>
    <w:rsid w:val="00805009"/>
    <w:rsid w:val="00834348"/>
    <w:rsid w:val="00837EBE"/>
    <w:rsid w:val="0085156C"/>
    <w:rsid w:val="00851944"/>
    <w:rsid w:val="00855443"/>
    <w:rsid w:val="00914D9D"/>
    <w:rsid w:val="00922B70"/>
    <w:rsid w:val="00937C66"/>
    <w:rsid w:val="009E66D7"/>
    <w:rsid w:val="009E6879"/>
    <w:rsid w:val="00A73C94"/>
    <w:rsid w:val="00A84DF2"/>
    <w:rsid w:val="00A86F59"/>
    <w:rsid w:val="00AB3A08"/>
    <w:rsid w:val="00AD622E"/>
    <w:rsid w:val="00AE68F8"/>
    <w:rsid w:val="00B313DC"/>
    <w:rsid w:val="00B61623"/>
    <w:rsid w:val="00B63948"/>
    <w:rsid w:val="00B81A48"/>
    <w:rsid w:val="00BA605E"/>
    <w:rsid w:val="00BC033F"/>
    <w:rsid w:val="00BF1B29"/>
    <w:rsid w:val="00BF435F"/>
    <w:rsid w:val="00C23B43"/>
    <w:rsid w:val="00C405D0"/>
    <w:rsid w:val="00C46E75"/>
    <w:rsid w:val="00C63F91"/>
    <w:rsid w:val="00C7628A"/>
    <w:rsid w:val="00C86502"/>
    <w:rsid w:val="00C9714C"/>
    <w:rsid w:val="00C971FC"/>
    <w:rsid w:val="00CB18F9"/>
    <w:rsid w:val="00CB7A00"/>
    <w:rsid w:val="00CC7F6D"/>
    <w:rsid w:val="00D2657E"/>
    <w:rsid w:val="00DC12D0"/>
    <w:rsid w:val="00DF46B8"/>
    <w:rsid w:val="00DF4AC7"/>
    <w:rsid w:val="00DF7C9A"/>
    <w:rsid w:val="00E515B2"/>
    <w:rsid w:val="00E76662"/>
    <w:rsid w:val="00E916DC"/>
    <w:rsid w:val="00EA34D2"/>
    <w:rsid w:val="00EC10B5"/>
    <w:rsid w:val="00ED33FA"/>
    <w:rsid w:val="00F17843"/>
    <w:rsid w:val="00F22431"/>
    <w:rsid w:val="00F259D4"/>
    <w:rsid w:val="00F34645"/>
    <w:rsid w:val="00F703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A0BB-2A21-4D25-A83F-ED06DAA6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3118</Words>
  <Characters>17149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2018-12-03T20:06:00Z</cp:lastPrinted>
  <dcterms:created xsi:type="dcterms:W3CDTF">2018-11-30T21:29:00Z</dcterms:created>
  <dcterms:modified xsi:type="dcterms:W3CDTF">2019-01-11T04:29:00Z</dcterms:modified>
</cp:coreProperties>
</file>